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C8AF0" w14:textId="77C68E48" w:rsidR="007A677C" w:rsidRPr="00837D2E" w:rsidRDefault="007A677C" w:rsidP="007A677C">
      <w:pPr>
        <w:rPr>
          <w:rFonts w:ascii="Arial" w:hAnsi="Arial"/>
          <w:i/>
          <w:iCs/>
        </w:rPr>
      </w:pPr>
      <w:r w:rsidRPr="00837D2E">
        <w:rPr>
          <w:rFonts w:ascii="Arial" w:hAnsi="Arial"/>
          <w:i/>
          <w:iCs/>
        </w:rPr>
        <w:t xml:space="preserve">                                            </w:t>
      </w:r>
      <w:r w:rsidRPr="00D25B2B">
        <w:rPr>
          <w:rFonts w:ascii="Arial" w:hAnsi="Arial"/>
          <w:b/>
          <w:noProof/>
        </w:rPr>
        <w:drawing>
          <wp:inline distT="0" distB="0" distL="0" distR="0" wp14:anchorId="78AA04F1" wp14:editId="653D327B">
            <wp:extent cx="743585" cy="762000"/>
            <wp:effectExtent l="0" t="0" r="0" b="0"/>
            <wp:docPr id="15564799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D2E">
        <w:rPr>
          <w:rFonts w:ascii="Arial" w:hAnsi="Arial"/>
          <w:i/>
          <w:iCs/>
        </w:rPr>
        <w:t>Provincia di Piacenza – Ufficio Statistica</w:t>
      </w:r>
    </w:p>
    <w:p w14:paraId="11AD358E" w14:textId="2C921A1F" w:rsidR="001F1787" w:rsidRPr="00B71B0F" w:rsidRDefault="001F1787" w:rsidP="0056408C">
      <w:pPr>
        <w:jc w:val="both"/>
        <w:rPr>
          <w:rFonts w:ascii="Calibri" w:hAnsi="Calibri" w:cs="Calibri"/>
          <w:b/>
          <w:bCs/>
          <w:color w:val="000000"/>
          <w:shd w:val="clear" w:color="auto" w:fill="FFFFFF"/>
        </w:rPr>
      </w:pPr>
      <w:r w:rsidRPr="00B71B0F">
        <w:rPr>
          <w:rFonts w:ascii="Calibri" w:hAnsi="Calibri" w:cs="Calibri"/>
          <w:b/>
          <w:bCs/>
          <w:color w:val="000000"/>
          <w:shd w:val="clear" w:color="auto" w:fill="FFFFFF"/>
        </w:rPr>
        <w:t>LA POPOLAZIONE PIACENTINA</w:t>
      </w:r>
      <w:r w:rsidR="0009319B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NEL 2022</w:t>
      </w:r>
      <w:r w:rsidRPr="00B71B0F">
        <w:rPr>
          <w:rFonts w:ascii="Calibri" w:hAnsi="Calibri" w:cs="Calibri"/>
          <w:b/>
          <w:bCs/>
          <w:color w:val="000000"/>
          <w:shd w:val="clear" w:color="auto" w:fill="FFFFFF"/>
        </w:rPr>
        <w:t xml:space="preserve">: PRECISAZIONI </w:t>
      </w:r>
      <w:r w:rsidR="008D7C7C" w:rsidRPr="00B71B0F">
        <w:rPr>
          <w:rFonts w:ascii="Calibri" w:hAnsi="Calibri" w:cs="Calibri"/>
          <w:b/>
          <w:bCs/>
          <w:color w:val="000000"/>
          <w:shd w:val="clear" w:color="auto" w:fill="FFFFFF"/>
        </w:rPr>
        <w:t>IN MERITO AGLI SCOSTAMENTI TRA DATO ANAGRAFICO</w:t>
      </w:r>
      <w:r w:rsidR="00F72A00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(LAC)</w:t>
      </w:r>
      <w:r w:rsidR="008D7C7C" w:rsidRPr="00B71B0F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E DATO ISTAT</w:t>
      </w:r>
      <w:r w:rsidRPr="00B71B0F">
        <w:rPr>
          <w:rFonts w:ascii="Calibri" w:hAnsi="Calibri" w:cs="Calibri"/>
          <w:b/>
          <w:bCs/>
          <w:color w:val="000000"/>
          <w:shd w:val="clear" w:color="auto" w:fill="FFFFFF"/>
        </w:rPr>
        <w:t>.</w:t>
      </w:r>
    </w:p>
    <w:p w14:paraId="19F26320" w14:textId="77777777" w:rsidR="001F1787" w:rsidRDefault="001F1787" w:rsidP="0056408C">
      <w:pPr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236C9A02" w14:textId="3F7A094E" w:rsidR="00DC3835" w:rsidRDefault="0056408C" w:rsidP="0056408C">
      <w:pPr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L’Ufficio Statistica ha recentemente pubblicato i dati sulla popolazione residente piacentina al 31.12.2022, così come derivano dalle elaborazioni delle LAC</w:t>
      </w:r>
      <w:r w:rsidR="00774399">
        <w:rPr>
          <w:rFonts w:ascii="Calibri" w:hAnsi="Calibri" w:cs="Calibri"/>
          <w:color w:val="000000"/>
          <w:shd w:val="clear" w:color="auto" w:fill="FFFFFF"/>
        </w:rPr>
        <w:t xml:space="preserve"> (</w:t>
      </w:r>
      <w:r>
        <w:rPr>
          <w:rFonts w:ascii="Calibri" w:hAnsi="Calibri" w:cs="Calibri"/>
          <w:color w:val="000000"/>
          <w:shd w:val="clear" w:color="auto" w:fill="FFFFFF"/>
        </w:rPr>
        <w:t>le liste anagrafiche comunali</w:t>
      </w:r>
      <w:r w:rsidR="00774399">
        <w:rPr>
          <w:rFonts w:ascii="Calibri" w:hAnsi="Calibri" w:cs="Calibri"/>
          <w:color w:val="000000"/>
          <w:shd w:val="clear" w:color="auto" w:fill="FFFFFF"/>
        </w:rPr>
        <w:t>)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0377E5">
        <w:rPr>
          <w:rFonts w:ascii="Calibri" w:hAnsi="Calibri" w:cs="Calibri"/>
          <w:color w:val="000000"/>
          <w:shd w:val="clear" w:color="auto" w:fill="FFFFFF"/>
        </w:rPr>
        <w:t>effettuate in base al protocollo di collaborazione per</w:t>
      </w:r>
      <w:r>
        <w:rPr>
          <w:rFonts w:ascii="Calibri" w:hAnsi="Calibri" w:cs="Calibri"/>
          <w:color w:val="000000"/>
          <w:shd w:val="clear" w:color="auto" w:fill="FFFFFF"/>
        </w:rPr>
        <w:t xml:space="preserve"> la rilevazione annuale della Regione Emilia-Romagna</w:t>
      </w:r>
      <w:r w:rsidR="00874335">
        <w:rPr>
          <w:rFonts w:ascii="Calibri" w:hAnsi="Calibri" w:cs="Calibri"/>
          <w:color w:val="000000"/>
          <w:shd w:val="clear" w:color="auto" w:fill="FFFFFF"/>
        </w:rPr>
        <w:t>, e che mettono in evidenza</w:t>
      </w:r>
      <w:r>
        <w:rPr>
          <w:rFonts w:ascii="Calibri" w:hAnsi="Calibri" w:cs="Calibri"/>
          <w:color w:val="000000"/>
          <w:shd w:val="clear" w:color="auto" w:fill="FFFFFF"/>
        </w:rPr>
        <w:t xml:space="preserve"> uno scostamento significativo con la rilevazione dell’ISTAT.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63"/>
        <w:gridCol w:w="1828"/>
        <w:gridCol w:w="1725"/>
        <w:gridCol w:w="2006"/>
        <w:gridCol w:w="2006"/>
      </w:tblGrid>
      <w:tr w:rsidR="00DC3835" w14:paraId="586E8864" w14:textId="77777777" w:rsidTr="00781D2A">
        <w:tc>
          <w:tcPr>
            <w:tcW w:w="2063" w:type="dxa"/>
            <w:shd w:val="clear" w:color="auto" w:fill="auto"/>
          </w:tcPr>
          <w:p w14:paraId="6437E5A6" w14:textId="4FFE9181" w:rsidR="00DC3835" w:rsidRPr="00C06773" w:rsidRDefault="005D231F" w:rsidP="00DC3835">
            <w:pPr>
              <w:jc w:val="both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C06773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Al 31.12.2022</w:t>
            </w:r>
          </w:p>
        </w:tc>
        <w:tc>
          <w:tcPr>
            <w:tcW w:w="1828" w:type="dxa"/>
            <w:shd w:val="clear" w:color="auto" w:fill="auto"/>
          </w:tcPr>
          <w:p w14:paraId="4F720D89" w14:textId="6641BB3A" w:rsidR="00DC3835" w:rsidRPr="00C06773" w:rsidRDefault="00DC3835" w:rsidP="00DC3835">
            <w:pPr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C06773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LAC</w:t>
            </w:r>
          </w:p>
        </w:tc>
        <w:tc>
          <w:tcPr>
            <w:tcW w:w="1725" w:type="dxa"/>
            <w:shd w:val="clear" w:color="auto" w:fill="auto"/>
          </w:tcPr>
          <w:p w14:paraId="3201720F" w14:textId="5F95FD1D" w:rsidR="00DC3835" w:rsidRPr="00C06773" w:rsidRDefault="00DC3835" w:rsidP="00DC3835">
            <w:pPr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C06773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Rilevazione ISTAT</w:t>
            </w:r>
          </w:p>
        </w:tc>
        <w:tc>
          <w:tcPr>
            <w:tcW w:w="2006" w:type="dxa"/>
            <w:shd w:val="clear" w:color="auto" w:fill="auto"/>
          </w:tcPr>
          <w:p w14:paraId="657E20C0" w14:textId="54D2B1F2" w:rsidR="00DC3835" w:rsidRPr="00C06773" w:rsidRDefault="00DC3835" w:rsidP="00DC3835">
            <w:pPr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C06773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Differenza Assoluta</w:t>
            </w:r>
          </w:p>
        </w:tc>
        <w:tc>
          <w:tcPr>
            <w:tcW w:w="2006" w:type="dxa"/>
            <w:shd w:val="clear" w:color="auto" w:fill="auto"/>
          </w:tcPr>
          <w:p w14:paraId="32BB59BD" w14:textId="558428CB" w:rsidR="00DC3835" w:rsidRPr="00C06773" w:rsidRDefault="00DC3835" w:rsidP="00DC3835">
            <w:pPr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C06773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Differenza %</w:t>
            </w:r>
          </w:p>
        </w:tc>
      </w:tr>
      <w:tr w:rsidR="00DC3835" w14:paraId="1F261C87" w14:textId="77777777" w:rsidTr="00DC3835">
        <w:tc>
          <w:tcPr>
            <w:tcW w:w="2063" w:type="dxa"/>
          </w:tcPr>
          <w:p w14:paraId="744D239B" w14:textId="3E561D16" w:rsidR="00DC3835" w:rsidRDefault="00DC3835" w:rsidP="00DC3835">
            <w:pPr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Popolazione Totale</w:t>
            </w:r>
          </w:p>
        </w:tc>
        <w:tc>
          <w:tcPr>
            <w:tcW w:w="1828" w:type="dxa"/>
          </w:tcPr>
          <w:p w14:paraId="4E5BF688" w14:textId="5D3153EE" w:rsidR="00DC3835" w:rsidRDefault="00DC3835" w:rsidP="00DC3835">
            <w:pPr>
              <w:jc w:val="right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286.352</w:t>
            </w:r>
          </w:p>
        </w:tc>
        <w:tc>
          <w:tcPr>
            <w:tcW w:w="1725" w:type="dxa"/>
          </w:tcPr>
          <w:p w14:paraId="0F939FB0" w14:textId="4211EAB4" w:rsidR="00DC3835" w:rsidRDefault="00DC3835" w:rsidP="00DC3835">
            <w:pPr>
              <w:jc w:val="right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283.650</w:t>
            </w:r>
          </w:p>
        </w:tc>
        <w:tc>
          <w:tcPr>
            <w:tcW w:w="2006" w:type="dxa"/>
          </w:tcPr>
          <w:p w14:paraId="390D97BF" w14:textId="114E7E24" w:rsidR="00DC3835" w:rsidRDefault="00DC3835" w:rsidP="00DC3835">
            <w:pPr>
              <w:jc w:val="right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2.702</w:t>
            </w:r>
          </w:p>
        </w:tc>
        <w:tc>
          <w:tcPr>
            <w:tcW w:w="2006" w:type="dxa"/>
          </w:tcPr>
          <w:p w14:paraId="59835A25" w14:textId="7E5A3EF2" w:rsidR="00DC3835" w:rsidRDefault="00DC3835" w:rsidP="00DC3835">
            <w:pPr>
              <w:jc w:val="right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+1,0</w:t>
            </w:r>
          </w:p>
        </w:tc>
      </w:tr>
      <w:tr w:rsidR="00DC3835" w14:paraId="6C83E3E5" w14:textId="77777777" w:rsidTr="00DC3835">
        <w:tc>
          <w:tcPr>
            <w:tcW w:w="2063" w:type="dxa"/>
          </w:tcPr>
          <w:p w14:paraId="23735147" w14:textId="306AAEB3" w:rsidR="00DC3835" w:rsidRDefault="00DC3835" w:rsidP="00DC3835">
            <w:pPr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Stranieri</w:t>
            </w:r>
          </w:p>
        </w:tc>
        <w:tc>
          <w:tcPr>
            <w:tcW w:w="1828" w:type="dxa"/>
          </w:tcPr>
          <w:p w14:paraId="1A01C851" w14:textId="33A1CB84" w:rsidR="00DC3835" w:rsidRDefault="00DC3835" w:rsidP="00DC3835">
            <w:pPr>
              <w:jc w:val="right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43.918</w:t>
            </w:r>
          </w:p>
        </w:tc>
        <w:tc>
          <w:tcPr>
            <w:tcW w:w="1725" w:type="dxa"/>
          </w:tcPr>
          <w:p w14:paraId="1DFB2BB7" w14:textId="0F8A22F0" w:rsidR="00DC3835" w:rsidRDefault="00DC3835" w:rsidP="00DC3835">
            <w:pPr>
              <w:jc w:val="right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42.073</w:t>
            </w:r>
          </w:p>
        </w:tc>
        <w:tc>
          <w:tcPr>
            <w:tcW w:w="2006" w:type="dxa"/>
          </w:tcPr>
          <w:p w14:paraId="516E95C1" w14:textId="56783DBD" w:rsidR="00DC3835" w:rsidRDefault="00DC3835" w:rsidP="00DC3835">
            <w:pPr>
              <w:jc w:val="right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1.845</w:t>
            </w:r>
          </w:p>
        </w:tc>
        <w:tc>
          <w:tcPr>
            <w:tcW w:w="2006" w:type="dxa"/>
          </w:tcPr>
          <w:p w14:paraId="1A73EE26" w14:textId="583504D5" w:rsidR="00DC3835" w:rsidRDefault="00DC3835" w:rsidP="00DC3835">
            <w:pPr>
              <w:jc w:val="right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+4,4</w:t>
            </w:r>
          </w:p>
        </w:tc>
      </w:tr>
      <w:tr w:rsidR="00DC3835" w14:paraId="04A3351C" w14:textId="77777777" w:rsidTr="00DC3835">
        <w:tc>
          <w:tcPr>
            <w:tcW w:w="2063" w:type="dxa"/>
          </w:tcPr>
          <w:p w14:paraId="1ACABBF5" w14:textId="0C471C53" w:rsidR="00DC3835" w:rsidRDefault="00DC3835" w:rsidP="00DC3835">
            <w:pPr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Italiani</w:t>
            </w:r>
          </w:p>
        </w:tc>
        <w:tc>
          <w:tcPr>
            <w:tcW w:w="1828" w:type="dxa"/>
          </w:tcPr>
          <w:p w14:paraId="6E9971E7" w14:textId="3C7D63D4" w:rsidR="00DC3835" w:rsidRDefault="00DC3835" w:rsidP="00DC3835">
            <w:pPr>
              <w:jc w:val="right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242.434</w:t>
            </w:r>
          </w:p>
        </w:tc>
        <w:tc>
          <w:tcPr>
            <w:tcW w:w="1725" w:type="dxa"/>
          </w:tcPr>
          <w:p w14:paraId="7EDEE5CE" w14:textId="452556D2" w:rsidR="00DC3835" w:rsidRDefault="00DC3835" w:rsidP="00DC3835">
            <w:pPr>
              <w:jc w:val="right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241.577</w:t>
            </w:r>
          </w:p>
        </w:tc>
        <w:tc>
          <w:tcPr>
            <w:tcW w:w="2006" w:type="dxa"/>
          </w:tcPr>
          <w:p w14:paraId="0FB3AB33" w14:textId="253C52E4" w:rsidR="00DC3835" w:rsidRDefault="00DC3835" w:rsidP="00DC3835">
            <w:pPr>
              <w:jc w:val="right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857</w:t>
            </w:r>
          </w:p>
        </w:tc>
        <w:tc>
          <w:tcPr>
            <w:tcW w:w="2006" w:type="dxa"/>
          </w:tcPr>
          <w:p w14:paraId="7ABB75CD" w14:textId="686F3D6D" w:rsidR="00DC3835" w:rsidRDefault="00DC3835" w:rsidP="00DC3835">
            <w:pPr>
              <w:jc w:val="right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+0,</w:t>
            </w:r>
            <w:r w:rsidR="000B1BCE">
              <w:rPr>
                <w:rFonts w:ascii="Calibri" w:hAnsi="Calibri" w:cs="Calibri"/>
                <w:color w:val="000000"/>
                <w:shd w:val="clear" w:color="auto" w:fill="FFFFFF"/>
              </w:rPr>
              <w:t>4</w:t>
            </w:r>
          </w:p>
        </w:tc>
      </w:tr>
    </w:tbl>
    <w:p w14:paraId="66AFECFE" w14:textId="77777777" w:rsidR="00B845F7" w:rsidRDefault="00B845F7" w:rsidP="00B845F7">
      <w:pPr>
        <w:rPr>
          <w:rFonts w:ascii="Arimo" w:hAnsi="Arimo" w:cs="Arimo"/>
          <w:i/>
          <w:sz w:val="20"/>
          <w:szCs w:val="20"/>
        </w:rPr>
      </w:pPr>
      <w:r w:rsidRPr="00654225">
        <w:rPr>
          <w:rFonts w:ascii="Arimo" w:hAnsi="Arimo" w:cs="Arimo"/>
          <w:i/>
          <w:sz w:val="20"/>
          <w:szCs w:val="20"/>
        </w:rPr>
        <w:t xml:space="preserve">Fonte: elaborazioni Ufficio Statistica Provincia di Piacenza su dati Regione Emilia-Romagna – LAC </w:t>
      </w:r>
      <w:r>
        <w:rPr>
          <w:rFonts w:ascii="Arimo" w:hAnsi="Arimo" w:cs="Arimo"/>
          <w:i/>
          <w:sz w:val="20"/>
          <w:szCs w:val="20"/>
        </w:rPr>
        <w:t>e dati ISTAT</w:t>
      </w:r>
    </w:p>
    <w:p w14:paraId="05DA95DB" w14:textId="4DAAAF73" w:rsidR="00C85241" w:rsidRDefault="00DC3835" w:rsidP="0056408C">
      <w:pPr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Come </w:t>
      </w:r>
      <w:r w:rsidR="001F1787">
        <w:rPr>
          <w:rFonts w:ascii="Calibri" w:hAnsi="Calibri" w:cs="Calibri"/>
          <w:color w:val="000000"/>
          <w:shd w:val="clear" w:color="auto" w:fill="FFFFFF"/>
        </w:rPr>
        <w:t>riporta la tabella</w:t>
      </w:r>
      <w:r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="0056408C">
        <w:rPr>
          <w:rFonts w:ascii="Calibri" w:hAnsi="Calibri" w:cs="Calibri"/>
          <w:color w:val="000000"/>
          <w:shd w:val="clear" w:color="auto" w:fill="FFFFFF"/>
        </w:rPr>
        <w:t xml:space="preserve">la differenza di popolazione tra le LAC (286.352) e la rilevazione Istat (283.650) è </w:t>
      </w:r>
      <w:r w:rsidR="001F1787">
        <w:rPr>
          <w:rFonts w:ascii="Calibri" w:hAnsi="Calibri" w:cs="Calibri"/>
          <w:color w:val="000000"/>
          <w:shd w:val="clear" w:color="auto" w:fill="FFFFFF"/>
        </w:rPr>
        <w:t xml:space="preserve">piuttosto </w:t>
      </w:r>
      <w:r w:rsidR="00874335">
        <w:rPr>
          <w:rFonts w:ascii="Calibri" w:hAnsi="Calibri" w:cs="Calibri"/>
          <w:color w:val="000000"/>
          <w:shd w:val="clear" w:color="auto" w:fill="FFFFFF"/>
        </w:rPr>
        <w:t>consistente</w:t>
      </w:r>
      <w:r w:rsidR="0056408C">
        <w:rPr>
          <w:rFonts w:ascii="Calibri" w:hAnsi="Calibri" w:cs="Calibri"/>
          <w:color w:val="000000"/>
          <w:shd w:val="clear" w:color="auto" w:fill="FFFFFF"/>
        </w:rPr>
        <w:t xml:space="preserve"> (+1%)</w:t>
      </w:r>
      <w:r w:rsidR="00C06773">
        <w:rPr>
          <w:rFonts w:ascii="Calibri" w:hAnsi="Calibri" w:cs="Calibri"/>
          <w:color w:val="000000"/>
          <w:shd w:val="clear" w:color="auto" w:fill="FFFFFF"/>
        </w:rPr>
        <w:t>,</w:t>
      </w:r>
      <w:r w:rsidR="0056408C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8D7C7C">
        <w:rPr>
          <w:rFonts w:ascii="Calibri" w:hAnsi="Calibri" w:cs="Calibri"/>
          <w:color w:val="000000"/>
          <w:shd w:val="clear" w:color="auto" w:fill="FFFFFF"/>
        </w:rPr>
        <w:t xml:space="preserve">soprattutto </w:t>
      </w:r>
      <w:r w:rsidR="009C741F">
        <w:rPr>
          <w:rFonts w:ascii="Calibri" w:hAnsi="Calibri" w:cs="Calibri"/>
          <w:color w:val="000000"/>
          <w:shd w:val="clear" w:color="auto" w:fill="FFFFFF"/>
        </w:rPr>
        <w:t>perché</w:t>
      </w:r>
      <w:r w:rsidR="005D231F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quest’ultima</w:t>
      </w:r>
      <w:r w:rsidR="0056408C">
        <w:rPr>
          <w:rFonts w:ascii="Calibri" w:hAnsi="Calibri" w:cs="Calibri"/>
          <w:color w:val="000000"/>
          <w:shd w:val="clear" w:color="auto" w:fill="FFFFFF"/>
        </w:rPr>
        <w:t xml:space="preserve"> considera in modo più restrittivo la presenza degli stranieri</w:t>
      </w:r>
      <w:r w:rsidR="001F1787">
        <w:rPr>
          <w:rFonts w:ascii="Calibri" w:hAnsi="Calibri" w:cs="Calibri"/>
          <w:color w:val="000000"/>
          <w:shd w:val="clear" w:color="auto" w:fill="FFFFFF"/>
        </w:rPr>
        <w:t xml:space="preserve">; </w:t>
      </w:r>
      <w:r w:rsidR="0056408C">
        <w:rPr>
          <w:rFonts w:ascii="Calibri" w:hAnsi="Calibri" w:cs="Calibri"/>
          <w:color w:val="000000"/>
          <w:shd w:val="clear" w:color="auto" w:fill="FFFFFF"/>
        </w:rPr>
        <w:t xml:space="preserve">il dato </w:t>
      </w:r>
      <w:r w:rsidR="00874335">
        <w:rPr>
          <w:rFonts w:ascii="Calibri" w:hAnsi="Calibri" w:cs="Calibri"/>
          <w:color w:val="000000"/>
          <w:shd w:val="clear" w:color="auto" w:fill="FFFFFF"/>
        </w:rPr>
        <w:t>riconducibile a</w:t>
      </w:r>
      <w:r w:rsidR="005D231F">
        <w:rPr>
          <w:rFonts w:ascii="Calibri" w:hAnsi="Calibri" w:cs="Calibri"/>
          <w:color w:val="000000"/>
          <w:shd w:val="clear" w:color="auto" w:fill="FFFFFF"/>
        </w:rPr>
        <w:t xml:space="preserve">lle liste anagrafiche </w:t>
      </w:r>
      <w:r w:rsidR="0056408C">
        <w:rPr>
          <w:rFonts w:ascii="Calibri" w:hAnsi="Calibri" w:cs="Calibri"/>
          <w:color w:val="000000"/>
          <w:shd w:val="clear" w:color="auto" w:fill="FFFFFF"/>
        </w:rPr>
        <w:t xml:space="preserve">è </w:t>
      </w:r>
      <w:r w:rsidR="001F1787">
        <w:rPr>
          <w:rFonts w:ascii="Calibri" w:hAnsi="Calibri" w:cs="Calibri"/>
          <w:color w:val="000000"/>
          <w:shd w:val="clear" w:color="auto" w:fill="FFFFFF"/>
        </w:rPr>
        <w:t xml:space="preserve">in questo caso </w:t>
      </w:r>
      <w:r w:rsidR="0056408C">
        <w:rPr>
          <w:rFonts w:ascii="Calibri" w:hAnsi="Calibri" w:cs="Calibri"/>
          <w:color w:val="000000"/>
          <w:shd w:val="clear" w:color="auto" w:fill="FFFFFF"/>
        </w:rPr>
        <w:t xml:space="preserve">superiore di </w:t>
      </w:r>
      <w:r w:rsidR="001F1787">
        <w:rPr>
          <w:rFonts w:ascii="Calibri" w:hAnsi="Calibri" w:cs="Calibri"/>
          <w:color w:val="000000"/>
          <w:shd w:val="clear" w:color="auto" w:fill="FFFFFF"/>
        </w:rPr>
        <w:t>oltre</w:t>
      </w:r>
      <w:r w:rsidR="0056408C">
        <w:rPr>
          <w:rFonts w:ascii="Calibri" w:hAnsi="Calibri" w:cs="Calibri"/>
          <w:color w:val="000000"/>
          <w:shd w:val="clear" w:color="auto" w:fill="FFFFFF"/>
        </w:rPr>
        <w:t xml:space="preserve"> il </w:t>
      </w:r>
      <w:r w:rsidR="001F1787">
        <w:rPr>
          <w:rFonts w:ascii="Calibri" w:hAnsi="Calibri" w:cs="Calibri"/>
          <w:color w:val="000000"/>
          <w:shd w:val="clear" w:color="auto" w:fill="FFFFFF"/>
        </w:rPr>
        <w:t>4</w:t>
      </w:r>
      <w:r w:rsidR="0056408C">
        <w:rPr>
          <w:rFonts w:ascii="Calibri" w:hAnsi="Calibri" w:cs="Calibri"/>
          <w:color w:val="000000"/>
          <w:shd w:val="clear" w:color="auto" w:fill="FFFFFF"/>
        </w:rPr>
        <w:t>%</w:t>
      </w:r>
      <w:r w:rsidR="001F1787">
        <w:rPr>
          <w:rFonts w:ascii="Calibri" w:hAnsi="Calibri" w:cs="Calibri"/>
          <w:color w:val="000000"/>
          <w:shd w:val="clear" w:color="auto" w:fill="FFFFFF"/>
        </w:rPr>
        <w:t xml:space="preserve"> (</w:t>
      </w:r>
      <w:r w:rsidR="0056408C">
        <w:rPr>
          <w:rFonts w:ascii="Calibri" w:hAnsi="Calibri" w:cs="Calibri"/>
          <w:color w:val="000000"/>
          <w:shd w:val="clear" w:color="auto" w:fill="FFFFFF"/>
        </w:rPr>
        <w:t xml:space="preserve">43.918 contro 42.073), mentre </w:t>
      </w:r>
      <w:r w:rsidR="001F1787">
        <w:rPr>
          <w:rFonts w:ascii="Calibri" w:hAnsi="Calibri" w:cs="Calibri"/>
          <w:color w:val="000000"/>
          <w:shd w:val="clear" w:color="auto" w:fill="FFFFFF"/>
        </w:rPr>
        <w:t>se si</w:t>
      </w:r>
      <w:r w:rsidR="008B5296">
        <w:rPr>
          <w:rFonts w:ascii="Calibri" w:hAnsi="Calibri" w:cs="Calibri"/>
          <w:color w:val="000000"/>
          <w:shd w:val="clear" w:color="auto" w:fill="FFFFFF"/>
        </w:rPr>
        <w:t xml:space="preserve"> prendono in esame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56408C">
        <w:rPr>
          <w:rFonts w:ascii="Calibri" w:hAnsi="Calibri" w:cs="Calibri"/>
          <w:color w:val="000000"/>
          <w:shd w:val="clear" w:color="auto" w:fill="FFFFFF"/>
        </w:rPr>
        <w:t>gli italiani lo scostamento è molto più contenuto (+0,</w:t>
      </w:r>
      <w:r w:rsidR="000B1BCE">
        <w:rPr>
          <w:rFonts w:ascii="Calibri" w:hAnsi="Calibri" w:cs="Calibri"/>
          <w:color w:val="000000"/>
          <w:shd w:val="clear" w:color="auto" w:fill="FFFFFF"/>
        </w:rPr>
        <w:t>4</w:t>
      </w:r>
      <w:r w:rsidR="0056408C">
        <w:rPr>
          <w:rFonts w:ascii="Calibri" w:hAnsi="Calibri" w:cs="Calibri"/>
          <w:color w:val="000000"/>
          <w:shd w:val="clear" w:color="auto" w:fill="FFFFFF"/>
        </w:rPr>
        <w:t xml:space="preserve">%, 242.434 vs 241.577). </w:t>
      </w:r>
      <w:r w:rsidR="008B5296">
        <w:rPr>
          <w:rFonts w:ascii="Calibri" w:hAnsi="Calibri" w:cs="Calibri"/>
          <w:color w:val="000000"/>
          <w:shd w:val="clear" w:color="auto" w:fill="FFFFFF"/>
        </w:rPr>
        <w:t>La motivazione di quest</w:t>
      </w:r>
      <w:r w:rsidR="008D7C7C">
        <w:rPr>
          <w:rFonts w:ascii="Calibri" w:hAnsi="Calibri" w:cs="Calibri"/>
          <w:color w:val="000000"/>
          <w:shd w:val="clear" w:color="auto" w:fill="FFFFFF"/>
        </w:rPr>
        <w:t>e differenze</w:t>
      </w:r>
      <w:r w:rsidR="008B5296">
        <w:rPr>
          <w:rFonts w:ascii="Calibri" w:hAnsi="Calibri" w:cs="Calibri"/>
          <w:color w:val="000000"/>
          <w:shd w:val="clear" w:color="auto" w:fill="FFFFFF"/>
        </w:rPr>
        <w:t xml:space="preserve"> risiede nel fatto che </w:t>
      </w:r>
      <w:r w:rsidR="00C06773">
        <w:rPr>
          <w:rFonts w:ascii="Calibri" w:hAnsi="Calibri" w:cs="Calibri"/>
          <w:color w:val="000000"/>
          <w:shd w:val="clear" w:color="auto" w:fill="FFFFFF"/>
        </w:rPr>
        <w:t xml:space="preserve">le </w:t>
      </w:r>
      <w:r w:rsidR="00674E61">
        <w:rPr>
          <w:rFonts w:ascii="Calibri" w:hAnsi="Calibri" w:cs="Calibri"/>
          <w:color w:val="000000"/>
          <w:shd w:val="clear" w:color="auto" w:fill="FFFFFF"/>
        </w:rPr>
        <w:t xml:space="preserve">due </w:t>
      </w:r>
      <w:r w:rsidR="0056408C">
        <w:rPr>
          <w:rFonts w:ascii="Calibri" w:hAnsi="Calibri" w:cs="Calibri"/>
          <w:color w:val="000000"/>
          <w:shd w:val="clear" w:color="auto" w:fill="FFFFFF"/>
        </w:rPr>
        <w:t>rilevazioni</w:t>
      </w:r>
      <w:r w:rsidR="00C06773">
        <w:rPr>
          <w:rFonts w:ascii="Calibri" w:hAnsi="Calibri" w:cs="Calibri"/>
          <w:color w:val="000000"/>
          <w:shd w:val="clear" w:color="auto" w:fill="FFFFFF"/>
        </w:rPr>
        <w:t xml:space="preserve"> sono</w:t>
      </w:r>
      <w:r w:rsidR="0056408C">
        <w:rPr>
          <w:rFonts w:ascii="Calibri" w:hAnsi="Calibri" w:cs="Calibri"/>
          <w:color w:val="000000"/>
          <w:shd w:val="clear" w:color="auto" w:fill="FFFFFF"/>
        </w:rPr>
        <w:t xml:space="preserve"> diverse</w:t>
      </w:r>
      <w:r w:rsidR="008B5296">
        <w:rPr>
          <w:rFonts w:ascii="Calibri" w:hAnsi="Calibri" w:cs="Calibri"/>
          <w:color w:val="000000"/>
          <w:shd w:val="clear" w:color="auto" w:fill="FFFFFF"/>
        </w:rPr>
        <w:t>:</w:t>
      </w:r>
      <w:r w:rsidR="0056408C">
        <w:rPr>
          <w:rFonts w:ascii="Calibri" w:hAnsi="Calibri" w:cs="Calibri"/>
          <w:color w:val="000000"/>
          <w:shd w:val="clear" w:color="auto" w:fill="FFFFFF"/>
        </w:rPr>
        <w:t xml:space="preserve"> il dato LAC deriva</w:t>
      </w:r>
      <w:r w:rsidR="008B5296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56408C">
        <w:rPr>
          <w:rFonts w:ascii="Calibri" w:hAnsi="Calibri" w:cs="Calibri"/>
          <w:color w:val="000000"/>
          <w:shd w:val="clear" w:color="auto" w:fill="FFFFFF"/>
        </w:rPr>
        <w:t>da un DB amministrativo</w:t>
      </w:r>
      <w:r w:rsidR="00D628DA">
        <w:rPr>
          <w:rFonts w:ascii="Calibri" w:hAnsi="Calibri" w:cs="Calibri"/>
          <w:color w:val="000000"/>
          <w:shd w:val="clear" w:color="auto" w:fill="FFFFFF"/>
        </w:rPr>
        <w:t xml:space="preserve"> che confluisce poi in ANPR (l’Anagrafe Nazionale della Popolazione Residente),</w:t>
      </w:r>
      <w:r w:rsidR="0056408C">
        <w:rPr>
          <w:rFonts w:ascii="Calibri" w:hAnsi="Calibri" w:cs="Calibri"/>
          <w:color w:val="000000"/>
          <w:shd w:val="clear" w:color="auto" w:fill="FFFFFF"/>
        </w:rPr>
        <w:t xml:space="preserve"> mentre quello</w:t>
      </w:r>
      <w:r w:rsidR="005D231F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8D7C7C">
        <w:rPr>
          <w:rFonts w:ascii="Calibri" w:hAnsi="Calibri" w:cs="Calibri"/>
          <w:color w:val="000000"/>
          <w:shd w:val="clear" w:color="auto" w:fill="FFFFFF"/>
        </w:rPr>
        <w:t>dell’Istat</w:t>
      </w:r>
      <w:r w:rsidR="0056408C">
        <w:rPr>
          <w:rFonts w:ascii="Calibri" w:hAnsi="Calibri" w:cs="Calibri"/>
          <w:color w:val="000000"/>
          <w:shd w:val="clear" w:color="auto" w:fill="FFFFFF"/>
        </w:rPr>
        <w:t xml:space="preserve"> è un dato stimato</w:t>
      </w:r>
      <w:r w:rsidR="002C1818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="0056408C">
        <w:rPr>
          <w:rFonts w:ascii="Calibri" w:hAnsi="Calibri" w:cs="Calibri"/>
          <w:color w:val="000000"/>
          <w:shd w:val="clear" w:color="auto" w:fill="FFFFFF"/>
        </w:rPr>
        <w:t xml:space="preserve">frutto </w:t>
      </w:r>
      <w:r w:rsidR="00774399">
        <w:rPr>
          <w:rFonts w:ascii="Calibri" w:hAnsi="Calibri" w:cs="Calibri"/>
          <w:color w:val="000000"/>
          <w:shd w:val="clear" w:color="auto" w:fill="FFFFFF"/>
        </w:rPr>
        <w:t>d</w:t>
      </w:r>
      <w:r w:rsidR="00D628DA">
        <w:rPr>
          <w:rFonts w:ascii="Calibri" w:hAnsi="Calibri" w:cs="Calibri"/>
          <w:color w:val="000000"/>
          <w:shd w:val="clear" w:color="auto" w:fill="FFFFFF"/>
        </w:rPr>
        <w:t>i un</w:t>
      </w:r>
      <w:r w:rsidR="00774399">
        <w:rPr>
          <w:rFonts w:ascii="Calibri" w:hAnsi="Calibri" w:cs="Calibri"/>
          <w:color w:val="000000"/>
          <w:shd w:val="clear" w:color="auto" w:fill="FFFFFF"/>
        </w:rPr>
        <w:t xml:space="preserve">a metodologia </w:t>
      </w:r>
      <w:r w:rsidR="00FA5114">
        <w:rPr>
          <w:rFonts w:ascii="Calibri" w:hAnsi="Calibri" w:cs="Calibri"/>
          <w:color w:val="000000"/>
          <w:shd w:val="clear" w:color="auto" w:fill="FFFFFF"/>
        </w:rPr>
        <w:t xml:space="preserve">che </w:t>
      </w:r>
      <w:r w:rsidR="0056408C">
        <w:rPr>
          <w:rFonts w:ascii="Calibri" w:hAnsi="Calibri" w:cs="Calibri"/>
          <w:color w:val="000000"/>
          <w:shd w:val="clear" w:color="auto" w:fill="FFFFFF"/>
        </w:rPr>
        <w:t>integra</w:t>
      </w:r>
      <w:r w:rsidR="00D628DA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2B610B">
        <w:rPr>
          <w:rFonts w:ascii="Calibri" w:hAnsi="Calibri" w:cs="Calibri"/>
          <w:color w:val="000000"/>
          <w:shd w:val="clear" w:color="auto" w:fill="FFFFFF"/>
        </w:rPr>
        <w:t xml:space="preserve">differenti </w:t>
      </w:r>
      <w:r w:rsidR="0056408C">
        <w:rPr>
          <w:rFonts w:ascii="Calibri" w:hAnsi="Calibri" w:cs="Calibri"/>
          <w:color w:val="000000"/>
          <w:shd w:val="clear" w:color="auto" w:fill="FFFFFF"/>
        </w:rPr>
        <w:t>archivi amministrativi</w:t>
      </w:r>
      <w:r w:rsidR="008B5296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D628DA">
        <w:rPr>
          <w:rFonts w:ascii="Calibri" w:hAnsi="Calibri" w:cs="Calibri"/>
          <w:color w:val="000000"/>
          <w:shd w:val="clear" w:color="auto" w:fill="FFFFFF"/>
        </w:rPr>
        <w:t xml:space="preserve">(tra cui quello principale è costituito da ANPR) </w:t>
      </w:r>
      <w:r w:rsidR="0056408C">
        <w:rPr>
          <w:rFonts w:ascii="Calibri" w:hAnsi="Calibri" w:cs="Calibri"/>
          <w:color w:val="000000"/>
          <w:shd w:val="clear" w:color="auto" w:fill="FFFFFF"/>
        </w:rPr>
        <w:t>e indagini campionarie</w:t>
      </w:r>
      <w:r w:rsidR="00FC093E">
        <w:rPr>
          <w:rStyle w:val="Rimandonotaapidipagina"/>
          <w:rFonts w:ascii="Calibri" w:hAnsi="Calibri" w:cs="Calibri"/>
          <w:color w:val="000000"/>
          <w:shd w:val="clear" w:color="auto" w:fill="FFFFFF"/>
        </w:rPr>
        <w:footnoteReference w:id="1"/>
      </w:r>
      <w:r w:rsidR="0056408C">
        <w:rPr>
          <w:rFonts w:ascii="Calibri" w:hAnsi="Calibri" w:cs="Calibri"/>
          <w:color w:val="000000"/>
          <w:shd w:val="clear" w:color="auto" w:fill="FFFFFF"/>
        </w:rPr>
        <w:t>.</w:t>
      </w:r>
    </w:p>
    <w:p w14:paraId="239E0B28" w14:textId="6B6AE59A" w:rsidR="00674E61" w:rsidRPr="0076754F" w:rsidRDefault="00774399" w:rsidP="0076754F">
      <w:pPr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L’o</w:t>
      </w:r>
      <w:r w:rsidR="008D7C7C">
        <w:rPr>
          <w:rFonts w:ascii="Calibri" w:hAnsi="Calibri" w:cs="Calibri"/>
          <w:color w:val="000000"/>
          <w:shd w:val="clear" w:color="auto" w:fill="FFFFFF"/>
        </w:rPr>
        <w:t xml:space="preserve">biettivo di questa nota è </w:t>
      </w:r>
      <w:r w:rsidR="00B728CB" w:rsidRPr="0076754F">
        <w:rPr>
          <w:rFonts w:ascii="Calibri" w:hAnsi="Calibri" w:cs="Calibri"/>
          <w:color w:val="000000"/>
          <w:shd w:val="clear" w:color="auto" w:fill="FFFFFF"/>
        </w:rPr>
        <w:t>v</w:t>
      </w:r>
      <w:r w:rsidR="00674E61" w:rsidRPr="0076754F">
        <w:rPr>
          <w:rFonts w:ascii="Calibri" w:hAnsi="Calibri" w:cs="Calibri"/>
          <w:color w:val="000000"/>
          <w:shd w:val="clear" w:color="auto" w:fill="FFFFFF"/>
        </w:rPr>
        <w:t>erificare</w:t>
      </w:r>
      <w:r w:rsidR="00B728CB" w:rsidRPr="0076754F">
        <w:rPr>
          <w:rFonts w:ascii="Calibri" w:hAnsi="Calibri" w:cs="Calibri"/>
          <w:color w:val="000000"/>
          <w:shd w:val="clear" w:color="auto" w:fill="FFFFFF"/>
        </w:rPr>
        <w:t>, dato atto dello scostamento LAC/ISTAT,</w:t>
      </w:r>
      <w:r w:rsidR="00674E61" w:rsidRPr="0076754F">
        <w:rPr>
          <w:rFonts w:ascii="Calibri" w:hAnsi="Calibri" w:cs="Calibri"/>
          <w:color w:val="000000"/>
          <w:shd w:val="clear" w:color="auto" w:fill="FFFFFF"/>
        </w:rPr>
        <w:t xml:space="preserve"> se gli andamenti della popolazione </w:t>
      </w:r>
      <w:r w:rsidR="00B728CB" w:rsidRPr="0076754F">
        <w:rPr>
          <w:rFonts w:ascii="Calibri" w:hAnsi="Calibri" w:cs="Calibri"/>
          <w:color w:val="000000"/>
          <w:shd w:val="clear" w:color="auto" w:fill="FFFFFF"/>
        </w:rPr>
        <w:t xml:space="preserve">secondo i due aggregati </w:t>
      </w:r>
      <w:r w:rsidR="00674E61" w:rsidRPr="0076754F">
        <w:rPr>
          <w:rFonts w:ascii="Calibri" w:hAnsi="Calibri" w:cs="Calibri"/>
          <w:color w:val="000000"/>
          <w:shd w:val="clear" w:color="auto" w:fill="FFFFFF"/>
        </w:rPr>
        <w:t>sono</w:t>
      </w:r>
      <w:r w:rsidR="0053729F" w:rsidRPr="0076754F">
        <w:rPr>
          <w:rFonts w:ascii="Calibri" w:hAnsi="Calibri" w:cs="Calibri"/>
          <w:color w:val="000000"/>
          <w:shd w:val="clear" w:color="auto" w:fill="FFFFFF"/>
        </w:rPr>
        <w:t xml:space="preserve"> comunque</w:t>
      </w:r>
      <w:r w:rsidR="00674E61" w:rsidRPr="0076754F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CE400E">
        <w:rPr>
          <w:rFonts w:ascii="Calibri" w:hAnsi="Calibri" w:cs="Calibri"/>
          <w:color w:val="000000"/>
          <w:shd w:val="clear" w:color="auto" w:fill="FFFFFF"/>
        </w:rPr>
        <w:t>simili</w:t>
      </w:r>
      <w:r w:rsidR="0076754F">
        <w:rPr>
          <w:rFonts w:ascii="Calibri" w:hAnsi="Calibri" w:cs="Calibri"/>
          <w:color w:val="000000"/>
          <w:shd w:val="clear" w:color="auto" w:fill="FFFFFF"/>
        </w:rPr>
        <w:t>.</w:t>
      </w:r>
    </w:p>
    <w:p w14:paraId="1326E8B3" w14:textId="43AC482E" w:rsidR="00774399" w:rsidRDefault="00F8614B" w:rsidP="00B71B0F">
      <w:pPr>
        <w:jc w:val="both"/>
      </w:pPr>
      <w:r>
        <w:t>Prendendo in considerazione il periodo 2013-2022</w:t>
      </w:r>
      <w:r w:rsidR="005F4C30">
        <w:rPr>
          <w:rStyle w:val="Rimandonotaapidipagina"/>
        </w:rPr>
        <w:footnoteReference w:id="2"/>
      </w:r>
      <w:r>
        <w:t>, è possibile osservare una sostanziale omogeneità nell’</w:t>
      </w:r>
      <w:r w:rsidR="004C01CC">
        <w:t>evoluzione demografica dei due aggregati</w:t>
      </w:r>
      <w:r w:rsidR="00625D54">
        <w:t xml:space="preserve"> </w:t>
      </w:r>
      <w:r w:rsidR="0038726E">
        <w:t xml:space="preserve">LAC/ISTAT </w:t>
      </w:r>
      <w:r w:rsidR="00625D54">
        <w:t xml:space="preserve">riferiti alla </w:t>
      </w:r>
      <w:r w:rsidR="00625D54" w:rsidRPr="00E02595">
        <w:rPr>
          <w:b/>
          <w:bCs/>
        </w:rPr>
        <w:t>popolazione complessiva</w:t>
      </w:r>
      <w:r w:rsidR="00723326">
        <w:rPr>
          <w:b/>
          <w:bCs/>
        </w:rPr>
        <w:t xml:space="preserve"> </w:t>
      </w:r>
      <w:r w:rsidR="00723326" w:rsidRPr="00723326">
        <w:t>piacentina</w:t>
      </w:r>
      <w:r w:rsidR="004C01CC">
        <w:t xml:space="preserve"> specialmente per quanto riguarda gli anni 2013-2016</w:t>
      </w:r>
      <w:r w:rsidR="00625D54">
        <w:t xml:space="preserve"> (</w:t>
      </w:r>
      <w:r w:rsidR="00D64091">
        <w:t>con variazioni</w:t>
      </w:r>
      <w:r w:rsidR="00625D54">
        <w:t xml:space="preserve"> in diminuzione</w:t>
      </w:r>
      <w:r w:rsidR="005F4C30">
        <w:t xml:space="preserve"> del</w:t>
      </w:r>
      <w:r w:rsidR="008D0B08">
        <w:t xml:space="preserve"> -0,4/-0,6 per cento</w:t>
      </w:r>
      <w:r w:rsidR="00625D54">
        <w:t xml:space="preserve">) e </w:t>
      </w:r>
      <w:r w:rsidR="00B728CB">
        <w:t xml:space="preserve">gli anni </w:t>
      </w:r>
      <w:r w:rsidR="00625D54">
        <w:t>2017-2019 (</w:t>
      </w:r>
      <w:r w:rsidR="00D64091">
        <w:t>con tassi</w:t>
      </w:r>
      <w:r w:rsidR="00625D54">
        <w:t xml:space="preserve"> in leggera espansione</w:t>
      </w:r>
      <w:r w:rsidR="008D0B08">
        <w:t xml:space="preserve">, </w:t>
      </w:r>
      <w:r w:rsidR="00AD595F">
        <w:t xml:space="preserve">attorno a </w:t>
      </w:r>
      <w:r w:rsidR="008D0B08">
        <w:t>+0,1%</w:t>
      </w:r>
      <w:r w:rsidR="00625D54">
        <w:t>)</w:t>
      </w:r>
      <w:r w:rsidR="005B18B0">
        <w:t xml:space="preserve">, mentre risulta </w:t>
      </w:r>
      <w:r w:rsidR="00B728CB">
        <w:t xml:space="preserve">più controversa l’evoluzione nella fase </w:t>
      </w:r>
      <w:r w:rsidR="00E02595">
        <w:t xml:space="preserve">finale </w:t>
      </w:r>
      <w:r w:rsidR="00B728CB">
        <w:t>pandemica e post-pandemica (2020-2022)</w:t>
      </w:r>
      <w:r w:rsidR="008D0B08">
        <w:t>. Ciò non solo per quanto riguarda il dato r</w:t>
      </w:r>
      <w:r w:rsidR="00774399">
        <w:t>elativ</w:t>
      </w:r>
      <w:r w:rsidR="008D0B08">
        <w:t xml:space="preserve">o alla caduta del 2020, più accentuata col dato ISTAT (-1,0%) rispetto al dato LAC (-0,7%), </w:t>
      </w:r>
      <w:r w:rsidR="003C64D7">
        <w:t xml:space="preserve">ma anche per quanto riguarda la </w:t>
      </w:r>
      <w:r w:rsidR="00B169DB">
        <w:t xml:space="preserve">fase di </w:t>
      </w:r>
      <w:r w:rsidR="003C64D7">
        <w:t>ripresa del 2021 e 2022, evidente solo attraverso i dati delle liste anagrafich</w:t>
      </w:r>
      <w:r w:rsidR="0038726E">
        <w:t>e.</w:t>
      </w:r>
      <w:r w:rsidR="00B169DB" w:rsidRPr="00B169DB">
        <w:t xml:space="preserve"> </w:t>
      </w:r>
      <w:r w:rsidR="00B169DB">
        <w:t xml:space="preserve">La popolazione totale riferita alla rilevazione ISTAT </w:t>
      </w:r>
      <w:r w:rsidR="00B45EF3">
        <w:t>cala, infatti,</w:t>
      </w:r>
      <w:r w:rsidR="00D64091">
        <w:t xml:space="preserve"> </w:t>
      </w:r>
      <w:r w:rsidR="00B169DB">
        <w:t xml:space="preserve">anche nel 2021 e a fine 2022 </w:t>
      </w:r>
      <w:r w:rsidR="00847133">
        <w:t xml:space="preserve">– pur riprendendosi - </w:t>
      </w:r>
      <w:r w:rsidR="00B169DB">
        <w:t>non ha ancora recuperato il livello del 2020.</w:t>
      </w:r>
    </w:p>
    <w:p w14:paraId="33644C5B" w14:textId="77777777" w:rsidR="00E02595" w:rsidRPr="00774399" w:rsidRDefault="00E02595" w:rsidP="00B71B0F">
      <w:pPr>
        <w:jc w:val="both"/>
      </w:pPr>
    </w:p>
    <w:p w14:paraId="30F78374" w14:textId="1CA4859D" w:rsidR="00B71B0F" w:rsidRDefault="00815110" w:rsidP="00B71B0F">
      <w:pPr>
        <w:jc w:val="center"/>
      </w:pPr>
      <w:r>
        <w:rPr>
          <w:noProof/>
        </w:rPr>
        <w:drawing>
          <wp:inline distT="0" distB="0" distL="0" distR="0" wp14:anchorId="6EA6A3B6" wp14:editId="09E3687E">
            <wp:extent cx="5334000" cy="3081338"/>
            <wp:effectExtent l="0" t="0" r="0" b="5080"/>
            <wp:docPr id="145902952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4CAA0B15-A1BB-C58F-2046-DD6667FEEE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E54D496" w14:textId="2DAF0D85" w:rsidR="00B45EF3" w:rsidRDefault="008648BD" w:rsidP="005F4C30">
      <w:pPr>
        <w:jc w:val="center"/>
        <w:rPr>
          <w:rFonts w:ascii="Arimo" w:hAnsi="Arimo" w:cs="Arimo"/>
          <w:i/>
          <w:sz w:val="20"/>
          <w:szCs w:val="20"/>
        </w:rPr>
      </w:pPr>
      <w:bookmarkStart w:id="0" w:name="_Hlk135134418"/>
      <w:r w:rsidRPr="00654225">
        <w:rPr>
          <w:rFonts w:ascii="Arimo" w:hAnsi="Arimo" w:cs="Arimo"/>
          <w:i/>
          <w:sz w:val="20"/>
          <w:szCs w:val="20"/>
        </w:rPr>
        <w:t xml:space="preserve">Fonte: elaborazioni Ufficio Statistica Provincia di Piacenza su dati Regione Emilia-Romagna – LAC </w:t>
      </w:r>
      <w:r>
        <w:rPr>
          <w:rFonts w:ascii="Arimo" w:hAnsi="Arimo" w:cs="Arimo"/>
          <w:i/>
          <w:sz w:val="20"/>
          <w:szCs w:val="20"/>
        </w:rPr>
        <w:t>e dati ISTAT</w:t>
      </w:r>
    </w:p>
    <w:bookmarkEnd w:id="0"/>
    <w:p w14:paraId="323C364C" w14:textId="77777777" w:rsidR="005F4C30" w:rsidRDefault="005F4C30" w:rsidP="005F4C30">
      <w:pPr>
        <w:jc w:val="center"/>
        <w:rPr>
          <w:rFonts w:ascii="Arimo" w:hAnsi="Arimo" w:cs="Arimo"/>
          <w:i/>
          <w:sz w:val="20"/>
          <w:szCs w:val="20"/>
        </w:rPr>
      </w:pPr>
    </w:p>
    <w:p w14:paraId="0E9369B2" w14:textId="25B5EA7C" w:rsidR="00B71B0F" w:rsidRDefault="0076754F" w:rsidP="00B71B0F">
      <w:pPr>
        <w:jc w:val="center"/>
      </w:pPr>
      <w:r>
        <w:rPr>
          <w:noProof/>
        </w:rPr>
        <w:drawing>
          <wp:inline distT="0" distB="0" distL="0" distR="0" wp14:anchorId="4EF15563" wp14:editId="07879FA6">
            <wp:extent cx="5314950" cy="3257550"/>
            <wp:effectExtent l="0" t="0" r="0" b="0"/>
            <wp:docPr id="848216734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8C8E8A34-0885-7316-B589-8AC490F092D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F606CF8" w14:textId="13CFD500" w:rsidR="008648BD" w:rsidRPr="00654225" w:rsidRDefault="008648BD" w:rsidP="008648BD">
      <w:pPr>
        <w:jc w:val="center"/>
        <w:rPr>
          <w:rFonts w:ascii="Arimo" w:hAnsi="Arimo" w:cs="Arimo"/>
          <w:i/>
          <w:sz w:val="20"/>
          <w:szCs w:val="20"/>
        </w:rPr>
      </w:pPr>
      <w:r w:rsidRPr="00654225">
        <w:rPr>
          <w:rFonts w:ascii="Arimo" w:hAnsi="Arimo" w:cs="Arimo"/>
          <w:i/>
          <w:sz w:val="20"/>
          <w:szCs w:val="20"/>
        </w:rPr>
        <w:t xml:space="preserve">Fonte: elaborazioni Ufficio Statistica Provincia di Piacenza su dati Regione Emilia-Romagna – LAC </w:t>
      </w:r>
      <w:r>
        <w:rPr>
          <w:rFonts w:ascii="Arimo" w:hAnsi="Arimo" w:cs="Arimo"/>
          <w:i/>
          <w:sz w:val="20"/>
          <w:szCs w:val="20"/>
        </w:rPr>
        <w:t>e dati ISTAT</w:t>
      </w:r>
      <w:r w:rsidRPr="00654225">
        <w:rPr>
          <w:rFonts w:ascii="Arimo" w:hAnsi="Arimo" w:cs="Arimo"/>
          <w:i/>
          <w:sz w:val="20"/>
          <w:szCs w:val="20"/>
        </w:rPr>
        <w:t xml:space="preserve"> </w:t>
      </w:r>
    </w:p>
    <w:p w14:paraId="6B4A7CC1" w14:textId="77777777" w:rsidR="00733E0B" w:rsidRDefault="00733E0B" w:rsidP="00B71B0F">
      <w:pPr>
        <w:jc w:val="both"/>
        <w:rPr>
          <w:rFonts w:cstheme="minorHAnsi"/>
          <w:iCs/>
        </w:rPr>
      </w:pPr>
    </w:p>
    <w:p w14:paraId="5FFC4216" w14:textId="56708F8D" w:rsidR="00925778" w:rsidRPr="003C6F46" w:rsidRDefault="00B45EF3" w:rsidP="00B71B0F">
      <w:pPr>
        <w:jc w:val="both"/>
        <w:rPr>
          <w:rFonts w:cstheme="minorHAnsi"/>
          <w:iCs/>
        </w:rPr>
      </w:pPr>
      <w:r w:rsidRPr="003C6F46">
        <w:rPr>
          <w:rFonts w:cstheme="minorHAnsi"/>
          <w:iCs/>
        </w:rPr>
        <w:t xml:space="preserve">Anche considerando gli </w:t>
      </w:r>
      <w:r w:rsidRPr="003C6F46">
        <w:rPr>
          <w:rFonts w:cstheme="minorHAnsi"/>
          <w:b/>
          <w:bCs/>
          <w:iCs/>
        </w:rPr>
        <w:t>stranieri</w:t>
      </w:r>
      <w:r w:rsidRPr="003C6F46">
        <w:rPr>
          <w:rFonts w:cstheme="minorHAnsi"/>
          <w:i/>
        </w:rPr>
        <w:t xml:space="preserve"> </w:t>
      </w:r>
      <w:r w:rsidR="00286BAB">
        <w:rPr>
          <w:rFonts w:cstheme="minorHAnsi"/>
          <w:iCs/>
        </w:rPr>
        <w:t>gli andamenti</w:t>
      </w:r>
      <w:r w:rsidRPr="003C6F46">
        <w:rPr>
          <w:rFonts w:cstheme="minorHAnsi"/>
          <w:iCs/>
        </w:rPr>
        <w:t xml:space="preserve"> </w:t>
      </w:r>
      <w:r w:rsidR="00874335" w:rsidRPr="003C6F46">
        <w:rPr>
          <w:rFonts w:cstheme="minorHAnsi"/>
          <w:iCs/>
        </w:rPr>
        <w:t xml:space="preserve">delle due serie storiche </w:t>
      </w:r>
      <w:r w:rsidRPr="003C6F46">
        <w:rPr>
          <w:rFonts w:cstheme="minorHAnsi"/>
          <w:iCs/>
        </w:rPr>
        <w:t>risultano per gran parte simili, in calo tra il 2013 e il 2016 ed in crescita dal 2017 al 2020; ancora, differiscono invece sul dato del 2021 (gli stranieri aumentano per le LAC, diminuisc</w:t>
      </w:r>
      <w:r w:rsidR="00E02595" w:rsidRPr="003C6F46">
        <w:rPr>
          <w:rFonts w:cstheme="minorHAnsi"/>
          <w:iCs/>
        </w:rPr>
        <w:t>ono</w:t>
      </w:r>
      <w:r w:rsidRPr="003C6F46">
        <w:rPr>
          <w:rFonts w:cstheme="minorHAnsi"/>
          <w:iCs/>
        </w:rPr>
        <w:t xml:space="preserve"> per ISTAT)</w:t>
      </w:r>
      <w:r w:rsidR="00E02595" w:rsidRPr="003C6F46">
        <w:rPr>
          <w:rFonts w:cstheme="minorHAnsi"/>
          <w:iCs/>
        </w:rPr>
        <w:t>, per poi allinearsi nel 2022, segnando in entrambi i casi una leggera contrazione.</w:t>
      </w:r>
      <w:r w:rsidR="00E25C55" w:rsidRPr="003C6F46">
        <w:rPr>
          <w:rFonts w:cstheme="minorHAnsi"/>
          <w:iCs/>
        </w:rPr>
        <w:t xml:space="preserve"> </w:t>
      </w:r>
    </w:p>
    <w:p w14:paraId="21D0D9C2" w14:textId="77777777" w:rsidR="00B83B81" w:rsidRPr="00925778" w:rsidRDefault="00B83B81" w:rsidP="00B71B0F">
      <w:pPr>
        <w:jc w:val="both"/>
        <w:rPr>
          <w:rFonts w:ascii="Arimo" w:hAnsi="Arimo" w:cs="Arimo"/>
          <w:iCs/>
          <w:sz w:val="20"/>
          <w:szCs w:val="20"/>
        </w:rPr>
      </w:pPr>
    </w:p>
    <w:p w14:paraId="067D39C7" w14:textId="4D6ABD0D" w:rsidR="00B71B0F" w:rsidRDefault="00AD595F" w:rsidP="00B71B0F">
      <w:pPr>
        <w:jc w:val="center"/>
      </w:pPr>
      <w:r>
        <w:rPr>
          <w:noProof/>
        </w:rPr>
        <w:lastRenderedPageBreak/>
        <w:drawing>
          <wp:inline distT="0" distB="0" distL="0" distR="0" wp14:anchorId="12E37916" wp14:editId="3BA900E8">
            <wp:extent cx="5686425" cy="3471863"/>
            <wp:effectExtent l="0" t="0" r="9525" b="14605"/>
            <wp:docPr id="121145693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5312F5A9-3A57-A2DB-2287-96652148B20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141329A" w14:textId="272B124E" w:rsidR="008648BD" w:rsidRPr="00654225" w:rsidRDefault="008648BD" w:rsidP="008648BD">
      <w:pPr>
        <w:jc w:val="center"/>
        <w:rPr>
          <w:rFonts w:ascii="Arimo" w:hAnsi="Arimo" w:cs="Arimo"/>
          <w:i/>
          <w:sz w:val="20"/>
          <w:szCs w:val="20"/>
        </w:rPr>
      </w:pPr>
      <w:r w:rsidRPr="00654225">
        <w:rPr>
          <w:rFonts w:ascii="Arimo" w:hAnsi="Arimo" w:cs="Arimo"/>
          <w:i/>
          <w:sz w:val="20"/>
          <w:szCs w:val="20"/>
        </w:rPr>
        <w:t xml:space="preserve">Fonte: elaborazioni Ufficio Statistica Provincia di Piacenza su dati Regione Emilia-Romagna – LAC </w:t>
      </w:r>
      <w:r>
        <w:rPr>
          <w:rFonts w:ascii="Arimo" w:hAnsi="Arimo" w:cs="Arimo"/>
          <w:i/>
          <w:sz w:val="20"/>
          <w:szCs w:val="20"/>
        </w:rPr>
        <w:t>e dati ISTAT</w:t>
      </w:r>
      <w:r w:rsidRPr="00654225">
        <w:rPr>
          <w:rFonts w:ascii="Arimo" w:hAnsi="Arimo" w:cs="Arimo"/>
          <w:i/>
          <w:sz w:val="20"/>
          <w:szCs w:val="20"/>
        </w:rPr>
        <w:t xml:space="preserve"> </w:t>
      </w:r>
    </w:p>
    <w:p w14:paraId="7D581246" w14:textId="77777777" w:rsidR="00CE400E" w:rsidRDefault="00CE400E" w:rsidP="00B71B0F">
      <w:pPr>
        <w:jc w:val="both"/>
        <w:rPr>
          <w:rFonts w:cstheme="minorHAnsi"/>
          <w:iCs/>
        </w:rPr>
      </w:pPr>
    </w:p>
    <w:p w14:paraId="11D91F71" w14:textId="707CC32A" w:rsidR="0076754F" w:rsidRPr="00CE400E" w:rsidRDefault="00CE400E" w:rsidP="00B71B0F">
      <w:pPr>
        <w:jc w:val="both"/>
        <w:rPr>
          <w:rFonts w:cstheme="minorHAnsi"/>
          <w:iCs/>
        </w:rPr>
      </w:pPr>
      <w:r w:rsidRPr="003C6F46">
        <w:rPr>
          <w:rFonts w:cstheme="minorHAnsi"/>
          <w:iCs/>
        </w:rPr>
        <w:t xml:space="preserve">Le serie storiche riferite agli </w:t>
      </w:r>
      <w:r w:rsidRPr="003C6F46">
        <w:rPr>
          <w:rFonts w:cstheme="minorHAnsi"/>
          <w:b/>
          <w:bCs/>
          <w:iCs/>
        </w:rPr>
        <w:t xml:space="preserve">italiani, </w:t>
      </w:r>
      <w:r w:rsidRPr="003C6F46">
        <w:rPr>
          <w:rFonts w:cstheme="minorHAnsi"/>
          <w:iCs/>
        </w:rPr>
        <w:t>caratterizzate da scostamenti meno significativi, mostrano infine in entrambi i casi una certa stabilità della popolazione</w:t>
      </w:r>
      <w:r>
        <w:rPr>
          <w:rFonts w:cstheme="minorHAnsi"/>
          <w:iCs/>
        </w:rPr>
        <w:t xml:space="preserve"> (attorno ai 247mila residenti)</w:t>
      </w:r>
      <w:r w:rsidRPr="003C6F46">
        <w:rPr>
          <w:rFonts w:cstheme="minorHAnsi"/>
          <w:iCs/>
        </w:rPr>
        <w:t xml:space="preserve"> fino al 2016, e successivamente un’evoluzione negativa, acuita </w:t>
      </w:r>
      <w:r>
        <w:rPr>
          <w:rFonts w:cstheme="minorHAnsi"/>
          <w:iCs/>
        </w:rPr>
        <w:t xml:space="preserve">(molto di più nel caso di ISTAT però) </w:t>
      </w:r>
      <w:r w:rsidRPr="003C6F46">
        <w:rPr>
          <w:rFonts w:cstheme="minorHAnsi"/>
          <w:iCs/>
        </w:rPr>
        <w:t>dal dato della pandemia nel 2020</w:t>
      </w:r>
      <w:r>
        <w:rPr>
          <w:rStyle w:val="Rimandonotaapidipagina"/>
          <w:rFonts w:cstheme="minorHAnsi"/>
          <w:iCs/>
        </w:rPr>
        <w:footnoteReference w:id="3"/>
      </w:r>
      <w:r w:rsidRPr="003C6F46">
        <w:rPr>
          <w:rFonts w:cstheme="minorHAnsi"/>
          <w:iCs/>
        </w:rPr>
        <w:t xml:space="preserve">. Nel 2022 la popolazione italiana </w:t>
      </w:r>
      <w:r>
        <w:rPr>
          <w:rFonts w:cstheme="minorHAnsi"/>
          <w:iCs/>
        </w:rPr>
        <w:t>invece</w:t>
      </w:r>
      <w:r w:rsidRPr="003C6F46">
        <w:rPr>
          <w:rFonts w:cstheme="minorHAnsi"/>
          <w:iCs/>
        </w:rPr>
        <w:t xml:space="preserve"> torna a crescere, sia in base a</w:t>
      </w:r>
      <w:r>
        <w:rPr>
          <w:rFonts w:cstheme="minorHAnsi"/>
          <w:iCs/>
        </w:rPr>
        <w:t>i</w:t>
      </w:r>
      <w:r w:rsidRPr="003C6F46">
        <w:rPr>
          <w:rFonts w:cstheme="minorHAnsi"/>
          <w:iCs/>
        </w:rPr>
        <w:t xml:space="preserve"> dat</w:t>
      </w:r>
      <w:r>
        <w:rPr>
          <w:rFonts w:cstheme="minorHAnsi"/>
          <w:iCs/>
        </w:rPr>
        <w:t>i</w:t>
      </w:r>
      <w:r w:rsidRPr="003C6F46">
        <w:rPr>
          <w:rFonts w:cstheme="minorHAnsi"/>
          <w:iCs/>
        </w:rPr>
        <w:t xml:space="preserve"> anagrafic</w:t>
      </w:r>
      <w:r>
        <w:rPr>
          <w:rFonts w:cstheme="minorHAnsi"/>
          <w:iCs/>
        </w:rPr>
        <w:t>i</w:t>
      </w:r>
      <w:r w:rsidRPr="003C6F46">
        <w:rPr>
          <w:rFonts w:cstheme="minorHAnsi"/>
          <w:iCs/>
        </w:rPr>
        <w:t xml:space="preserve"> (seppur con la discontinuità del 2021) che – più linearmente - sulla base dei dati ISTAT.</w:t>
      </w:r>
    </w:p>
    <w:p w14:paraId="0FDB1348" w14:textId="036A92BE" w:rsidR="00B71B0F" w:rsidRDefault="00723326" w:rsidP="00B71B0F">
      <w:pPr>
        <w:jc w:val="both"/>
      </w:pPr>
      <w:r>
        <w:t xml:space="preserve">In conclusione, è possibile osservare come le serie storiche LAC/ISTAT risultino sostanzialmente allineate, </w:t>
      </w:r>
      <w:r w:rsidR="007A24B3">
        <w:t>non solo</w:t>
      </w:r>
      <w:r>
        <w:t xml:space="preserve"> per la popolazione </w:t>
      </w:r>
      <w:r w:rsidR="005663D4">
        <w:t>nel complesso</w:t>
      </w:r>
      <w:r>
        <w:t xml:space="preserve"> </w:t>
      </w:r>
      <w:r w:rsidR="007A24B3">
        <w:t>ma an</w:t>
      </w:r>
      <w:r>
        <w:t>che per la componente italiana e straniera</w:t>
      </w:r>
      <w:r w:rsidR="005663D4">
        <w:t>, fino allo scoppio della pandemia</w:t>
      </w:r>
      <w:r>
        <w:t>.</w:t>
      </w:r>
      <w:r w:rsidR="005663D4">
        <w:t xml:space="preserve"> Successivamente</w:t>
      </w:r>
      <w:r w:rsidR="003C6F46">
        <w:t>, dal 2020 in poi,</w:t>
      </w:r>
      <w:r w:rsidR="005663D4">
        <w:t xml:space="preserve"> emergono divergenze di comportamento, </w:t>
      </w:r>
      <w:r w:rsidR="003C6F46">
        <w:t xml:space="preserve">e </w:t>
      </w:r>
      <w:r w:rsidR="005663D4">
        <w:t>con un ampliamento del differenziale tra i due dati.</w:t>
      </w:r>
    </w:p>
    <w:p w14:paraId="1A80A1EC" w14:textId="77777777" w:rsidR="00C85241" w:rsidRDefault="00C85241"/>
    <w:p w14:paraId="05351166" w14:textId="77777777" w:rsidR="0009319B" w:rsidRDefault="0009319B"/>
    <w:p w14:paraId="0EBA3A48" w14:textId="77777777" w:rsidR="0009319B" w:rsidRDefault="0009319B"/>
    <w:p w14:paraId="4133F7CF" w14:textId="77777777" w:rsidR="0009319B" w:rsidRDefault="0009319B"/>
    <w:p w14:paraId="565CD680" w14:textId="77777777" w:rsidR="0009319B" w:rsidRDefault="0009319B"/>
    <w:p w14:paraId="3BD728DF" w14:textId="77777777" w:rsidR="0009319B" w:rsidRDefault="0009319B"/>
    <w:p w14:paraId="0750C470" w14:textId="77777777" w:rsidR="0009319B" w:rsidRDefault="0009319B"/>
    <w:p w14:paraId="70660BE4" w14:textId="77777777" w:rsidR="0009319B" w:rsidRDefault="0009319B"/>
    <w:p w14:paraId="478DFE1E" w14:textId="77777777" w:rsidR="0009319B" w:rsidRDefault="0009319B"/>
    <w:p w14:paraId="08FE6509" w14:textId="6DAE0ABC" w:rsidR="0009319B" w:rsidRPr="002B0B6A" w:rsidRDefault="0009319B">
      <w:pPr>
        <w:rPr>
          <w:b/>
          <w:bCs/>
          <w:sz w:val="20"/>
          <w:szCs w:val="20"/>
        </w:rPr>
      </w:pPr>
      <w:r w:rsidRPr="002B0B6A">
        <w:rPr>
          <w:b/>
          <w:bCs/>
          <w:sz w:val="20"/>
          <w:szCs w:val="20"/>
        </w:rPr>
        <w:lastRenderedPageBreak/>
        <w:t xml:space="preserve">La popolazione residente nei comuni della provincia di Piacenza al 31.12.2022. </w:t>
      </w:r>
      <w:r w:rsidR="00034D0F">
        <w:rPr>
          <w:b/>
          <w:bCs/>
          <w:sz w:val="20"/>
          <w:szCs w:val="20"/>
        </w:rPr>
        <w:t>Differenze tra d</w:t>
      </w:r>
      <w:r w:rsidRPr="002B0B6A">
        <w:rPr>
          <w:b/>
          <w:bCs/>
          <w:sz w:val="20"/>
          <w:szCs w:val="20"/>
        </w:rPr>
        <w:t>ato LAC e dato ISTAT.</w:t>
      </w:r>
    </w:p>
    <w:p w14:paraId="02A99392" w14:textId="023C584A" w:rsidR="000B1BCE" w:rsidRDefault="00143A34">
      <w:r w:rsidRPr="00143A34">
        <w:rPr>
          <w:noProof/>
        </w:rPr>
        <w:drawing>
          <wp:inline distT="0" distB="0" distL="0" distR="0" wp14:anchorId="25B0C0AD" wp14:editId="53FF59D7">
            <wp:extent cx="6120130" cy="5279390"/>
            <wp:effectExtent l="0" t="0" r="0" b="0"/>
            <wp:docPr id="112871453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27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B61E4" w14:textId="77777777" w:rsidR="0009319B" w:rsidRPr="00654225" w:rsidRDefault="0009319B" w:rsidP="0009319B">
      <w:pPr>
        <w:jc w:val="center"/>
        <w:rPr>
          <w:rFonts w:ascii="Arimo" w:hAnsi="Arimo" w:cs="Arimo"/>
          <w:i/>
          <w:sz w:val="20"/>
          <w:szCs w:val="20"/>
        </w:rPr>
      </w:pPr>
      <w:r w:rsidRPr="00654225">
        <w:rPr>
          <w:rFonts w:ascii="Arimo" w:hAnsi="Arimo" w:cs="Arimo"/>
          <w:i/>
          <w:sz w:val="20"/>
          <w:szCs w:val="20"/>
        </w:rPr>
        <w:t xml:space="preserve">Fonte: elaborazioni Ufficio Statistica Provincia di Piacenza su dati Regione Emilia-Romagna – LAC </w:t>
      </w:r>
      <w:r>
        <w:rPr>
          <w:rFonts w:ascii="Arimo" w:hAnsi="Arimo" w:cs="Arimo"/>
          <w:i/>
          <w:sz w:val="20"/>
          <w:szCs w:val="20"/>
        </w:rPr>
        <w:t>e dati ISTAT</w:t>
      </w:r>
      <w:r w:rsidRPr="00654225">
        <w:rPr>
          <w:rFonts w:ascii="Arimo" w:hAnsi="Arimo" w:cs="Arimo"/>
          <w:i/>
          <w:sz w:val="20"/>
          <w:szCs w:val="20"/>
        </w:rPr>
        <w:t xml:space="preserve"> </w:t>
      </w:r>
    </w:p>
    <w:p w14:paraId="548C9071" w14:textId="4379B96D" w:rsidR="0009319B" w:rsidRDefault="0009319B" w:rsidP="0009319B"/>
    <w:sectPr w:rsidR="000931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D4B3A" w14:textId="77777777" w:rsidR="00B823E8" w:rsidRDefault="00B823E8" w:rsidP="000018AA">
      <w:pPr>
        <w:spacing w:after="0" w:line="240" w:lineRule="auto"/>
      </w:pPr>
      <w:r>
        <w:separator/>
      </w:r>
    </w:p>
  </w:endnote>
  <w:endnote w:type="continuationSeparator" w:id="0">
    <w:p w14:paraId="1D47FD53" w14:textId="77777777" w:rsidR="00B823E8" w:rsidRDefault="00B823E8" w:rsidP="0000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30A3" w14:textId="77777777" w:rsidR="00B823E8" w:rsidRDefault="00B823E8" w:rsidP="000018AA">
      <w:pPr>
        <w:spacing w:after="0" w:line="240" w:lineRule="auto"/>
      </w:pPr>
      <w:r>
        <w:separator/>
      </w:r>
    </w:p>
  </w:footnote>
  <w:footnote w:type="continuationSeparator" w:id="0">
    <w:p w14:paraId="267730D3" w14:textId="77777777" w:rsidR="00B823E8" w:rsidRDefault="00B823E8" w:rsidP="000018AA">
      <w:pPr>
        <w:spacing w:after="0" w:line="240" w:lineRule="auto"/>
      </w:pPr>
      <w:r>
        <w:continuationSeparator/>
      </w:r>
    </w:p>
  </w:footnote>
  <w:footnote w:id="1">
    <w:p w14:paraId="13FDC514" w14:textId="4EC3B458" w:rsidR="00FC093E" w:rsidRDefault="00FC093E" w:rsidP="00FC093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CE400E" w:rsidRPr="00CE400E">
        <w:t>I</w:t>
      </w:r>
      <w:r>
        <w:t xml:space="preserve">l dato ISTAT risulta sistematicamente inferiore </w:t>
      </w:r>
      <w:r w:rsidR="006A0E20">
        <w:t>(tranne che – cfr. più avanti – per la componente italiana</w:t>
      </w:r>
      <w:r w:rsidR="00BF0408">
        <w:t xml:space="preserve"> dei residenti</w:t>
      </w:r>
      <w:r w:rsidR="006A0E20">
        <w:t xml:space="preserve">) </w:t>
      </w:r>
      <w:r>
        <w:t xml:space="preserve">a quello anagrafico. </w:t>
      </w:r>
      <w:r w:rsidR="006A0E20">
        <w:t>N</w:t>
      </w:r>
      <w:r>
        <w:t xml:space="preserve">el caso della determinazione della </w:t>
      </w:r>
      <w:r w:rsidRPr="006C566C">
        <w:rPr>
          <w:rFonts w:cstheme="minorHAnsi"/>
        </w:rPr>
        <w:t>popolazione legale al 31.12.2021</w:t>
      </w:r>
      <w:r>
        <w:rPr>
          <w:rFonts w:cstheme="minorHAnsi"/>
        </w:rPr>
        <w:t xml:space="preserve"> (</w:t>
      </w:r>
      <w:r w:rsidRPr="006C566C">
        <w:rPr>
          <w:rFonts w:cstheme="minorHAnsi"/>
        </w:rPr>
        <w:t xml:space="preserve">ufficializzata da ISTAT </w:t>
      </w:r>
      <w:r>
        <w:rPr>
          <w:rFonts w:cstheme="minorHAnsi"/>
        </w:rPr>
        <w:t>a seguito del</w:t>
      </w:r>
      <w:r w:rsidRPr="006C566C">
        <w:rPr>
          <w:rFonts w:cstheme="minorHAnsi"/>
        </w:rPr>
        <w:t xml:space="preserve"> </w:t>
      </w:r>
      <w:r>
        <w:rPr>
          <w:rFonts w:cstheme="minorHAnsi"/>
        </w:rPr>
        <w:t>D</w:t>
      </w:r>
      <w:r w:rsidRPr="006C566C">
        <w:rPr>
          <w:rFonts w:cstheme="minorHAnsi"/>
        </w:rPr>
        <w:t xml:space="preserve">ecreto del Presidente della Repubblica </w:t>
      </w:r>
      <w:r w:rsidRPr="006C566C">
        <w:rPr>
          <w:rFonts w:cstheme="minorHAnsi"/>
          <w:shd w:val="clear" w:color="auto" w:fill="FFFFFF"/>
        </w:rPr>
        <w:t>20 gennaio 2023 pubblicato sulla Gazzetta Ufficiale n.53 del 3 marzo 2023, supplemento ordinario n.10</w:t>
      </w:r>
      <w:r>
        <w:rPr>
          <w:rFonts w:cstheme="minorHAnsi"/>
          <w:shd w:val="clear" w:color="auto" w:fill="FFFFFF"/>
        </w:rPr>
        <w:t>)</w:t>
      </w:r>
      <w:r w:rsidR="006F3E60">
        <w:rPr>
          <w:rFonts w:cstheme="minorHAnsi"/>
          <w:shd w:val="clear" w:color="auto" w:fill="FFFFFF"/>
        </w:rPr>
        <w:t>,</w:t>
      </w:r>
      <w:r w:rsidRPr="006C566C">
        <w:rPr>
          <w:rFonts w:cstheme="minorHAnsi"/>
          <w:shd w:val="clear" w:color="auto" w:fill="FFFFFF"/>
        </w:rPr>
        <w:t xml:space="preserve"> </w:t>
      </w:r>
      <w:r w:rsidR="006F3E60">
        <w:rPr>
          <w:rFonts w:cstheme="minorHAnsi"/>
        </w:rPr>
        <w:t xml:space="preserve">in </w:t>
      </w:r>
      <w:r w:rsidRPr="006C566C">
        <w:t xml:space="preserve">provincia di Piacenza </w:t>
      </w:r>
      <w:r w:rsidR="006F3E60">
        <w:t xml:space="preserve">essa </w:t>
      </w:r>
      <w:r w:rsidR="006A0E20">
        <w:t xml:space="preserve">risulta </w:t>
      </w:r>
      <w:r w:rsidR="00CE400E">
        <w:t>pari</w:t>
      </w:r>
      <w:r w:rsidRPr="006C566C">
        <w:t xml:space="preserve"> a 283.435 </w:t>
      </w:r>
      <w:r w:rsidRPr="006C566C">
        <w:rPr>
          <w:rFonts w:cstheme="minorHAnsi"/>
        </w:rPr>
        <w:t>residenti</w:t>
      </w:r>
      <w:r w:rsidR="006A0E20">
        <w:rPr>
          <w:rFonts w:cstheme="minorHAnsi"/>
        </w:rPr>
        <w:t xml:space="preserve">, </w:t>
      </w:r>
      <w:r w:rsidR="00B64915">
        <w:rPr>
          <w:rFonts w:cstheme="minorHAnsi"/>
        </w:rPr>
        <w:t xml:space="preserve">circa 2.500 in meno rispetto al dato </w:t>
      </w:r>
      <w:r w:rsidR="006A0E20">
        <w:rPr>
          <w:rFonts w:cstheme="minorHAnsi"/>
        </w:rPr>
        <w:t>LAC</w:t>
      </w:r>
      <w:r w:rsidRPr="006C566C">
        <w:rPr>
          <w:rFonts w:cstheme="minorHAnsi"/>
        </w:rPr>
        <w:t xml:space="preserve">. </w:t>
      </w:r>
      <w:r w:rsidRPr="006C566C">
        <w:rPr>
          <w:rFonts w:cstheme="minorHAnsi"/>
          <w:shd w:val="clear" w:color="auto" w:fill="FFFFFF"/>
        </w:rPr>
        <w:t xml:space="preserve">La popolazione legale è utilizzata sia a fini giuridici </w:t>
      </w:r>
      <w:r w:rsidR="006F3E60">
        <w:rPr>
          <w:rFonts w:cstheme="minorHAnsi"/>
          <w:shd w:val="clear" w:color="auto" w:fill="FFFFFF"/>
        </w:rPr>
        <w:t>(ad esempio per la distribuzione di contributi</w:t>
      </w:r>
      <w:r w:rsidR="00531019">
        <w:rPr>
          <w:rFonts w:cstheme="minorHAnsi"/>
          <w:shd w:val="clear" w:color="auto" w:fill="FFFFFF"/>
        </w:rPr>
        <w:t xml:space="preserve"> pubblici</w:t>
      </w:r>
      <w:r w:rsidR="006F3E60">
        <w:rPr>
          <w:rFonts w:cstheme="minorHAnsi"/>
          <w:shd w:val="clear" w:color="auto" w:fill="FFFFFF"/>
        </w:rPr>
        <w:t xml:space="preserve">) </w:t>
      </w:r>
      <w:r w:rsidRPr="006C566C">
        <w:rPr>
          <w:rFonts w:cstheme="minorHAnsi"/>
          <w:shd w:val="clear" w:color="auto" w:fill="FFFFFF"/>
        </w:rPr>
        <w:t>che elettorali per ripartire i seggi nelle elezioni europee, politiche e amministrative.</w:t>
      </w:r>
    </w:p>
  </w:footnote>
  <w:footnote w:id="2">
    <w:p w14:paraId="2544B2AA" w14:textId="2FA681D5" w:rsidR="005F4C30" w:rsidRDefault="005F4C30" w:rsidP="005F4C3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Nel caso di ISTAT, per gli anni 2013-2018 è stata utilizzata la serie storica derivante da “</w:t>
      </w:r>
      <w:r w:rsidRPr="001E78E8">
        <w:rPr>
          <w:rFonts w:ascii="Calibri" w:hAnsi="Calibri" w:cs="Calibri"/>
          <w:i/>
          <w:iCs/>
          <w:color w:val="000000"/>
          <w:shd w:val="clear" w:color="auto" w:fill="FFFFFF"/>
        </w:rPr>
        <w:t>Ricostruzione della popolazione residente. Anni 2002-2018</w:t>
      </w:r>
      <w:r>
        <w:rPr>
          <w:rFonts w:ascii="Calibri" w:hAnsi="Calibri" w:cs="Calibri"/>
          <w:color w:val="000000"/>
          <w:shd w:val="clear" w:color="auto" w:fill="FFFFFF"/>
        </w:rPr>
        <w:t>”, mentre per gli anni 2019-2022 si è fatto riferimento al bilancio demografico annuale pubblicato dall’Istituto (</w:t>
      </w:r>
      <w:hyperlink r:id="rId1" w:history="1">
        <w:r w:rsidRPr="00AB3A07">
          <w:rPr>
            <w:rStyle w:val="Collegamentoipertestuale"/>
            <w:rFonts w:ascii="Calibri" w:hAnsi="Calibri" w:cs="Calibri"/>
            <w:shd w:val="clear" w:color="auto" w:fill="FFFFFF"/>
          </w:rPr>
          <w:t>www.demo.istat.it</w:t>
        </w:r>
      </w:hyperlink>
      <w:r>
        <w:rPr>
          <w:rFonts w:ascii="Calibri" w:hAnsi="Calibri" w:cs="Calibri"/>
          <w:color w:val="000000"/>
          <w:shd w:val="clear" w:color="auto" w:fill="FFFFFF"/>
        </w:rPr>
        <w:t xml:space="preserve"> ).</w:t>
      </w:r>
    </w:p>
  </w:footnote>
  <w:footnote w:id="3">
    <w:p w14:paraId="2C741847" w14:textId="2A71AB65" w:rsidR="00CE400E" w:rsidRDefault="00CE400E" w:rsidP="00CE400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Impressionante è il calo riportato per gli italiani dal dato Istat nell’anno della crisi del Covid, circa 4.000 in meno rispetto al 2019, contro i poco più d</w:t>
      </w:r>
      <w:r w:rsidR="00A24699">
        <w:t>e</w:t>
      </w:r>
      <w:r>
        <w:t>i 2.000</w:t>
      </w:r>
      <w:r w:rsidR="00A24699">
        <w:t xml:space="preserve"> in meno</w:t>
      </w:r>
      <w:r>
        <w:t xml:space="preserve"> del dato LAC.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8040E"/>
    <w:multiLevelType w:val="hybridMultilevel"/>
    <w:tmpl w:val="95B827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928AF"/>
    <w:multiLevelType w:val="hybridMultilevel"/>
    <w:tmpl w:val="C26C41FE"/>
    <w:lvl w:ilvl="0" w:tplc="22FEC016">
      <w:start w:val="24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F2E74"/>
    <w:multiLevelType w:val="hybridMultilevel"/>
    <w:tmpl w:val="811A61A2"/>
    <w:lvl w:ilvl="0" w:tplc="5D1A1B6C">
      <w:start w:val="2"/>
      <w:numFmt w:val="bullet"/>
      <w:lvlText w:val="-"/>
      <w:lvlJc w:val="left"/>
      <w:pPr>
        <w:ind w:left="720" w:hanging="360"/>
      </w:pPr>
      <w:rPr>
        <w:rFonts w:ascii="Arimo" w:eastAsia="Calibri" w:hAnsi="Arimo" w:cs="Arim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27060">
    <w:abstractNumId w:val="1"/>
  </w:num>
  <w:num w:numId="2" w16cid:durableId="2118913286">
    <w:abstractNumId w:val="0"/>
  </w:num>
  <w:num w:numId="3" w16cid:durableId="1638028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41"/>
    <w:rsid w:val="000018AA"/>
    <w:rsid w:val="00034D0F"/>
    <w:rsid w:val="000377E5"/>
    <w:rsid w:val="00070A99"/>
    <w:rsid w:val="0009319B"/>
    <w:rsid w:val="000B1BCE"/>
    <w:rsid w:val="000D0254"/>
    <w:rsid w:val="000E4A00"/>
    <w:rsid w:val="000E4A84"/>
    <w:rsid w:val="000F065A"/>
    <w:rsid w:val="001046DE"/>
    <w:rsid w:val="00143A34"/>
    <w:rsid w:val="001E78E8"/>
    <w:rsid w:val="001F1787"/>
    <w:rsid w:val="001F21F6"/>
    <w:rsid w:val="00226A18"/>
    <w:rsid w:val="00255758"/>
    <w:rsid w:val="002651F4"/>
    <w:rsid w:val="00281DF3"/>
    <w:rsid w:val="00286BAB"/>
    <w:rsid w:val="002B0B6A"/>
    <w:rsid w:val="002B610B"/>
    <w:rsid w:val="002C1818"/>
    <w:rsid w:val="002E28B1"/>
    <w:rsid w:val="00336F7F"/>
    <w:rsid w:val="00337363"/>
    <w:rsid w:val="00384A81"/>
    <w:rsid w:val="0038726E"/>
    <w:rsid w:val="003C64D7"/>
    <w:rsid w:val="003C6F46"/>
    <w:rsid w:val="003E520C"/>
    <w:rsid w:val="00410052"/>
    <w:rsid w:val="00444F47"/>
    <w:rsid w:val="004C01CC"/>
    <w:rsid w:val="004D17ED"/>
    <w:rsid w:val="004E1AC8"/>
    <w:rsid w:val="00531019"/>
    <w:rsid w:val="0053724C"/>
    <w:rsid w:val="0053729F"/>
    <w:rsid w:val="0056408C"/>
    <w:rsid w:val="005663D4"/>
    <w:rsid w:val="005B18B0"/>
    <w:rsid w:val="005D231F"/>
    <w:rsid w:val="005F4C30"/>
    <w:rsid w:val="00611E88"/>
    <w:rsid w:val="00617D3A"/>
    <w:rsid w:val="00625D54"/>
    <w:rsid w:val="00626D03"/>
    <w:rsid w:val="00674E61"/>
    <w:rsid w:val="0067535E"/>
    <w:rsid w:val="006A0E20"/>
    <w:rsid w:val="006C566C"/>
    <w:rsid w:val="006F3E60"/>
    <w:rsid w:val="00723326"/>
    <w:rsid w:val="00733E0B"/>
    <w:rsid w:val="0076754F"/>
    <w:rsid w:val="00774399"/>
    <w:rsid w:val="00781D2A"/>
    <w:rsid w:val="007A24B3"/>
    <w:rsid w:val="007A677C"/>
    <w:rsid w:val="00815110"/>
    <w:rsid w:val="00833918"/>
    <w:rsid w:val="00847133"/>
    <w:rsid w:val="008648BD"/>
    <w:rsid w:val="00874335"/>
    <w:rsid w:val="008B5296"/>
    <w:rsid w:val="008C3A01"/>
    <w:rsid w:val="008D0B08"/>
    <w:rsid w:val="008D7C7C"/>
    <w:rsid w:val="00925778"/>
    <w:rsid w:val="00970D27"/>
    <w:rsid w:val="009B542B"/>
    <w:rsid w:val="009C741F"/>
    <w:rsid w:val="00A24699"/>
    <w:rsid w:val="00A40A02"/>
    <w:rsid w:val="00A4566C"/>
    <w:rsid w:val="00A752F9"/>
    <w:rsid w:val="00AD384F"/>
    <w:rsid w:val="00AD595F"/>
    <w:rsid w:val="00B12ECB"/>
    <w:rsid w:val="00B169DB"/>
    <w:rsid w:val="00B22E86"/>
    <w:rsid w:val="00B45EF3"/>
    <w:rsid w:val="00B64915"/>
    <w:rsid w:val="00B71B0F"/>
    <w:rsid w:val="00B728CB"/>
    <w:rsid w:val="00B8054B"/>
    <w:rsid w:val="00B823E8"/>
    <w:rsid w:val="00B83B81"/>
    <w:rsid w:val="00B845F7"/>
    <w:rsid w:val="00BA2767"/>
    <w:rsid w:val="00BF0408"/>
    <w:rsid w:val="00C06773"/>
    <w:rsid w:val="00C360FD"/>
    <w:rsid w:val="00C85241"/>
    <w:rsid w:val="00CE400E"/>
    <w:rsid w:val="00D628DA"/>
    <w:rsid w:val="00D64091"/>
    <w:rsid w:val="00D95806"/>
    <w:rsid w:val="00D97261"/>
    <w:rsid w:val="00DC3835"/>
    <w:rsid w:val="00E02595"/>
    <w:rsid w:val="00E25011"/>
    <w:rsid w:val="00E25C55"/>
    <w:rsid w:val="00E46BD1"/>
    <w:rsid w:val="00E7147B"/>
    <w:rsid w:val="00E86321"/>
    <w:rsid w:val="00ED5B82"/>
    <w:rsid w:val="00F169F0"/>
    <w:rsid w:val="00F72A00"/>
    <w:rsid w:val="00F8614B"/>
    <w:rsid w:val="00FA1555"/>
    <w:rsid w:val="00FA5114"/>
    <w:rsid w:val="00FC093E"/>
    <w:rsid w:val="00F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5914"/>
  <w15:chartTrackingRefBased/>
  <w15:docId w15:val="{257E7E9E-3693-45CC-B063-EE971E8C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C3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4E6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18A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18A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018A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018A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18A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73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mo.istat.i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AntonioC\Documents\UFFICIO%20STATISTICA\BILANCIO%20DEMOGRAFICO%20POP%20STRANIERA\SERIE%20STORICA%20AQUISIZ_2011-2022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AntonioC\Documents\UFFICIO%20STATISTICA\BILANCIO%20DEMOGRAFICO%20POP%20STRANIERA\SERIE%20STORICA%20AQUISIZ_2011-2022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AntonioC\Documents\UFFICIO%20STATISTICA\BILANCIO%20DEMOGRAFICO%20POP%20STRANIERA\SERIE%20STORICA%20AQUISIZ_2011-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POPOLAZIONE TOTALE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elaboraz!$B$3</c:f>
              <c:strCache>
                <c:ptCount val="1"/>
                <c:pt idx="0">
                  <c:v>LAC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7619047619047665E-2"/>
                  <c:y val="-2.47295168527438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652-40E5-B86C-1980E3E89FD6}"/>
                </c:ext>
              </c:extLst>
            </c:dLbl>
            <c:dLbl>
              <c:idx val="1"/>
              <c:layout>
                <c:manualLayout>
                  <c:x val="-3.0952380952380995E-2"/>
                  <c:y val="-2.0607930710619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652-40E5-B86C-1980E3E89FD6}"/>
                </c:ext>
              </c:extLst>
            </c:dLbl>
            <c:dLbl>
              <c:idx val="2"/>
              <c:layout>
                <c:manualLayout>
                  <c:x val="-2.8571428571428571E-2"/>
                  <c:y val="8.24317228424794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652-40E5-B86C-1980E3E89FD6}"/>
                </c:ext>
              </c:extLst>
            </c:dLbl>
            <c:dLbl>
              <c:idx val="3"/>
              <c:layout>
                <c:manualLayout>
                  <c:x val="-3.3333333333333375E-2"/>
                  <c:y val="2.47295168527438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652-40E5-B86C-1980E3E89FD6}"/>
                </c:ext>
              </c:extLst>
            </c:dLbl>
            <c:dLbl>
              <c:idx val="4"/>
              <c:layout>
                <c:manualLayout>
                  <c:x val="-4.5238095238095237E-2"/>
                  <c:y val="-2.4729516852743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652-40E5-B86C-1980E3E89FD6}"/>
                </c:ext>
              </c:extLst>
            </c:dLbl>
            <c:dLbl>
              <c:idx val="5"/>
              <c:layout>
                <c:manualLayout>
                  <c:x val="-3.5714285714285712E-2"/>
                  <c:y val="-2.47295168527438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652-40E5-B86C-1980E3E89FD6}"/>
                </c:ext>
              </c:extLst>
            </c:dLbl>
            <c:dLbl>
              <c:idx val="6"/>
              <c:layout>
                <c:manualLayout>
                  <c:x val="-5.0000000000000086E-2"/>
                  <c:y val="-3.7094275279115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652-40E5-B86C-1980E3E89FD6}"/>
                </c:ext>
              </c:extLst>
            </c:dLbl>
            <c:dLbl>
              <c:idx val="7"/>
              <c:layout>
                <c:manualLayout>
                  <c:x val="-4.2857142857142858E-2"/>
                  <c:y val="3.70942752791156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652-40E5-B86C-1980E3E89FD6}"/>
                </c:ext>
              </c:extLst>
            </c:dLbl>
            <c:dLbl>
              <c:idx val="8"/>
              <c:layout>
                <c:manualLayout>
                  <c:x val="-3.8095238095238272E-2"/>
                  <c:y val="2.0607930710619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652-40E5-B86C-1980E3E89F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elaboraz!$A$4:$A$13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elaboraz!$B$4:$B$13</c:f>
              <c:numCache>
                <c:formatCode>#,##0</c:formatCode>
                <c:ptCount val="10"/>
                <c:pt idx="0">
                  <c:v>288483</c:v>
                </c:pt>
                <c:pt idx="1">
                  <c:v>288013</c:v>
                </c:pt>
                <c:pt idx="2">
                  <c:v>287702</c:v>
                </c:pt>
                <c:pt idx="3">
                  <c:v>287246</c:v>
                </c:pt>
                <c:pt idx="4">
                  <c:v>287375</c:v>
                </c:pt>
                <c:pt idx="5">
                  <c:v>287657</c:v>
                </c:pt>
                <c:pt idx="6">
                  <c:v>287791</c:v>
                </c:pt>
                <c:pt idx="7">
                  <c:v>285701</c:v>
                </c:pt>
                <c:pt idx="8">
                  <c:v>285943</c:v>
                </c:pt>
                <c:pt idx="9">
                  <c:v>286352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7652-40E5-B86C-1980E3E89FD6}"/>
            </c:ext>
          </c:extLst>
        </c:ser>
        <c:ser>
          <c:idx val="1"/>
          <c:order val="1"/>
          <c:tx>
            <c:strRef>
              <c:f>elaboraz!$C$3</c:f>
              <c:strCache>
                <c:ptCount val="1"/>
                <c:pt idx="0">
                  <c:v>ISTAT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5238095238095237E-2"/>
                  <c:y val="4.5337447563363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652-40E5-B86C-1980E3E89FD6}"/>
                </c:ext>
              </c:extLst>
            </c:dLbl>
            <c:dLbl>
              <c:idx val="1"/>
              <c:layout>
                <c:manualLayout>
                  <c:x val="-2.8571428571428616E-2"/>
                  <c:y val="2.88511029948678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652-40E5-B86C-1980E3E89FD6}"/>
                </c:ext>
              </c:extLst>
            </c:dLbl>
            <c:dLbl>
              <c:idx val="2"/>
              <c:layout>
                <c:manualLayout>
                  <c:x val="-4.2857142857142899E-2"/>
                  <c:y val="4.5337447563363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652-40E5-B86C-1980E3E89FD6}"/>
                </c:ext>
              </c:extLst>
            </c:dLbl>
            <c:dLbl>
              <c:idx val="3"/>
              <c:layout>
                <c:manualLayout>
                  <c:x val="-4.2857142857142858E-2"/>
                  <c:y val="3.7094275279115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652-40E5-B86C-1980E3E89FD6}"/>
                </c:ext>
              </c:extLst>
            </c:dLbl>
            <c:dLbl>
              <c:idx val="4"/>
              <c:layout>
                <c:manualLayout>
                  <c:x val="-4.7619047619047616E-2"/>
                  <c:y val="3.29726891369917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652-40E5-B86C-1980E3E89FD6}"/>
                </c:ext>
              </c:extLst>
            </c:dLbl>
            <c:dLbl>
              <c:idx val="5"/>
              <c:layout>
                <c:manualLayout>
                  <c:x val="-4.0476190476190478E-2"/>
                  <c:y val="1.2364758426371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652-40E5-B86C-1980E3E89FD6}"/>
                </c:ext>
              </c:extLst>
            </c:dLbl>
            <c:dLbl>
              <c:idx val="6"/>
              <c:layout>
                <c:manualLayout>
                  <c:x val="-5.0000000000000086E-2"/>
                  <c:y val="-2.47295168527439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652-40E5-B86C-1980E3E89FD6}"/>
                </c:ext>
              </c:extLst>
            </c:dLbl>
            <c:dLbl>
              <c:idx val="7"/>
              <c:layout>
                <c:manualLayout>
                  <c:x val="-4.5238095238095327E-2"/>
                  <c:y val="3.7094275279115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652-40E5-B86C-1980E3E89FD6}"/>
                </c:ext>
              </c:extLst>
            </c:dLbl>
            <c:dLbl>
              <c:idx val="8"/>
              <c:layout>
                <c:manualLayout>
                  <c:x val="-3.5714285714285712E-2"/>
                  <c:y val="2.0607930710619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7652-40E5-B86C-1980E3E89F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elaboraz!$A$4:$A$13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elaboraz!$C$4:$C$13</c:f>
              <c:numCache>
                <c:formatCode>_-* #,##0_-;\-* #,##0_-;_-* "-"??_-;_-@_-</c:formatCode>
                <c:ptCount val="10"/>
                <c:pt idx="0">
                  <c:v>288231</c:v>
                </c:pt>
                <c:pt idx="1">
                  <c:v>287469</c:v>
                </c:pt>
                <c:pt idx="2">
                  <c:v>286412</c:v>
                </c:pt>
                <c:pt idx="3">
                  <c:v>286162</c:v>
                </c:pt>
                <c:pt idx="4">
                  <c:v>286204</c:v>
                </c:pt>
                <c:pt idx="5">
                  <c:v>286265</c:v>
                </c:pt>
                <c:pt idx="6">
                  <c:v>286433</c:v>
                </c:pt>
                <c:pt idx="7">
                  <c:v>283742</c:v>
                </c:pt>
                <c:pt idx="8">
                  <c:v>283435</c:v>
                </c:pt>
                <c:pt idx="9">
                  <c:v>283650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3-7652-40E5-B86C-1980E3E89F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62593215"/>
        <c:axId val="762589375"/>
      </c:lineChart>
      <c:catAx>
        <c:axId val="7625932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762589375"/>
        <c:crosses val="autoZero"/>
        <c:auto val="1"/>
        <c:lblAlgn val="ctr"/>
        <c:lblOffset val="100"/>
        <c:noMultiLvlLbl val="0"/>
      </c:catAx>
      <c:valAx>
        <c:axId val="762589375"/>
        <c:scaling>
          <c:orientation val="minMax"/>
          <c:min val="282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7625932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STRANIERI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elaboraz!$B$17</c:f>
              <c:strCache>
                <c:ptCount val="1"/>
                <c:pt idx="0">
                  <c:v>LAC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106332138590203E-2"/>
                  <c:y val="-1.94931773879142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20C-4075-8CD4-F46ED097AC74}"/>
                </c:ext>
              </c:extLst>
            </c:dLbl>
            <c:dLbl>
              <c:idx val="1"/>
              <c:layout>
                <c:manualLayout>
                  <c:x val="-3.8231780167264084E-2"/>
                  <c:y val="-1.94931773879142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20C-4075-8CD4-F46ED097AC74}"/>
                </c:ext>
              </c:extLst>
            </c:dLbl>
            <c:dLbl>
              <c:idx val="2"/>
              <c:layout>
                <c:manualLayout>
                  <c:x val="-2.8673835125448074E-2"/>
                  <c:y val="-1.94931773879142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20C-4075-8CD4-F46ED097AC74}"/>
                </c:ext>
              </c:extLst>
            </c:dLbl>
            <c:dLbl>
              <c:idx val="3"/>
              <c:layout>
                <c:manualLayout>
                  <c:x val="-3.5842293906810034E-2"/>
                  <c:y val="3.11890838206628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20C-4075-8CD4-F46ED097AC74}"/>
                </c:ext>
              </c:extLst>
            </c:dLbl>
            <c:dLbl>
              <c:idx val="4"/>
              <c:layout>
                <c:manualLayout>
                  <c:x val="-3.8231780167264126E-2"/>
                  <c:y val="3.1189083820662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20C-4075-8CD4-F46ED097AC74}"/>
                </c:ext>
              </c:extLst>
            </c:dLbl>
            <c:dLbl>
              <c:idx val="5"/>
              <c:layout>
                <c:manualLayout>
                  <c:x val="-3.5842293906810124E-2"/>
                  <c:y val="2.33918128654970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20C-4075-8CD4-F46ED097AC74}"/>
                </c:ext>
              </c:extLst>
            </c:dLbl>
            <c:dLbl>
              <c:idx val="6"/>
              <c:layout>
                <c:manualLayout>
                  <c:x val="-3.3452807646356032E-2"/>
                  <c:y val="3.898635477582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20C-4075-8CD4-F46ED097AC74}"/>
                </c:ext>
              </c:extLst>
            </c:dLbl>
            <c:dLbl>
              <c:idx val="7"/>
              <c:layout>
                <c:manualLayout>
                  <c:x val="-4.3010752688172046E-2"/>
                  <c:y val="-2.7290448343079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20C-4075-8CD4-F46ED097AC74}"/>
                </c:ext>
              </c:extLst>
            </c:dLbl>
            <c:dLbl>
              <c:idx val="8"/>
              <c:layout>
                <c:manualLayout>
                  <c:x val="-4.0621266427718038E-2"/>
                  <c:y val="-2.72904483430799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20C-4075-8CD4-F46ED097AC74}"/>
                </c:ext>
              </c:extLst>
            </c:dLbl>
            <c:dLbl>
              <c:idx val="9"/>
              <c:layout>
                <c:manualLayout>
                  <c:x val="-1.4336917562724014E-2"/>
                  <c:y val="2.33918128654970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20C-4075-8CD4-F46ED097AC7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elaboraz!$A$18:$A$27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elaboraz!$B$18:$B$27</c:f>
              <c:numCache>
                <c:formatCode>#,##0</c:formatCode>
                <c:ptCount val="10"/>
                <c:pt idx="0">
                  <c:v>40919</c:v>
                </c:pt>
                <c:pt idx="1">
                  <c:v>41227</c:v>
                </c:pt>
                <c:pt idx="2">
                  <c:v>40873</c:v>
                </c:pt>
                <c:pt idx="3">
                  <c:v>40281</c:v>
                </c:pt>
                <c:pt idx="4">
                  <c:v>41498</c:v>
                </c:pt>
                <c:pt idx="5">
                  <c:v>42492</c:v>
                </c:pt>
                <c:pt idx="6">
                  <c:v>43422</c:v>
                </c:pt>
                <c:pt idx="7">
                  <c:v>43497</c:v>
                </c:pt>
                <c:pt idx="8">
                  <c:v>43951</c:v>
                </c:pt>
                <c:pt idx="9">
                  <c:v>43918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C20C-4075-8CD4-F46ED097AC74}"/>
            </c:ext>
          </c:extLst>
        </c:ser>
        <c:ser>
          <c:idx val="1"/>
          <c:order val="1"/>
          <c:tx>
            <c:strRef>
              <c:f>elaboraz!$C$17</c:f>
              <c:strCache>
                <c:ptCount val="1"/>
                <c:pt idx="0">
                  <c:v>ISTAT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5842293906810034E-2"/>
                  <c:y val="2.33918128654970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20C-4075-8CD4-F46ED097AC74}"/>
                </c:ext>
              </c:extLst>
            </c:dLbl>
            <c:dLbl>
              <c:idx val="1"/>
              <c:layout>
                <c:manualLayout>
                  <c:x val="-4.5400238948626048E-2"/>
                  <c:y val="1.55945419103313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20C-4075-8CD4-F46ED097AC74}"/>
                </c:ext>
              </c:extLst>
            </c:dLbl>
            <c:dLbl>
              <c:idx val="2"/>
              <c:layout>
                <c:manualLayout>
                  <c:x val="-4.062126642771808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20C-4075-8CD4-F46ED097AC74}"/>
                </c:ext>
              </c:extLst>
            </c:dLbl>
            <c:dLbl>
              <c:idx val="3"/>
              <c:layout>
                <c:manualLayout>
                  <c:x val="-4.3010752688171998E-2"/>
                  <c:y val="2.7290448343079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20C-4075-8CD4-F46ED097AC74}"/>
                </c:ext>
              </c:extLst>
            </c:dLbl>
            <c:dLbl>
              <c:idx val="4"/>
              <c:layout>
                <c:manualLayout>
                  <c:x val="-3.5842293906810124E-2"/>
                  <c:y val="2.72904483430797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20C-4075-8CD4-F46ED097AC74}"/>
                </c:ext>
              </c:extLst>
            </c:dLbl>
            <c:dLbl>
              <c:idx val="5"/>
              <c:layout>
                <c:manualLayout>
                  <c:x val="-3.5842293906810124E-2"/>
                  <c:y val="2.33918128654971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20C-4075-8CD4-F46ED097AC74}"/>
                </c:ext>
              </c:extLst>
            </c:dLbl>
            <c:dLbl>
              <c:idx val="6"/>
              <c:layout>
                <c:manualLayout>
                  <c:x val="-3.3452807646356032E-2"/>
                  <c:y val="2.33918128654970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20C-4075-8CD4-F46ED097AC74}"/>
                </c:ext>
              </c:extLst>
            </c:dLbl>
            <c:dLbl>
              <c:idx val="7"/>
              <c:layout>
                <c:manualLayout>
                  <c:x val="-4.5400238948625958E-2"/>
                  <c:y val="4.67836257309941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C20C-4075-8CD4-F46ED097AC74}"/>
                </c:ext>
              </c:extLst>
            </c:dLbl>
            <c:dLbl>
              <c:idx val="8"/>
              <c:layout>
                <c:manualLayout>
                  <c:x val="-4.3010752688172046E-2"/>
                  <c:y val="2.72904483430798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C20C-4075-8CD4-F46ED097AC74}"/>
                </c:ext>
              </c:extLst>
            </c:dLbl>
            <c:dLbl>
              <c:idx val="9"/>
              <c:layout>
                <c:manualLayout>
                  <c:x val="-1.4336917562724014E-2"/>
                  <c:y val="3.50877192982455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C20C-4075-8CD4-F46ED097AC7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elaboraz!$A$18:$A$27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elaboraz!$C$18:$C$27</c:f>
              <c:numCache>
                <c:formatCode>_-* #,##0_-;\-* #,##0_-;_-* "-"??_-;_-@_-</c:formatCode>
                <c:ptCount val="10"/>
                <c:pt idx="0">
                  <c:v>40677</c:v>
                </c:pt>
                <c:pt idx="1">
                  <c:v>40715</c:v>
                </c:pt>
                <c:pt idx="2">
                  <c:v>39989</c:v>
                </c:pt>
                <c:pt idx="3">
                  <c:v>38894</c:v>
                </c:pt>
                <c:pt idx="4">
                  <c:v>39881</c:v>
                </c:pt>
                <c:pt idx="5">
                  <c:v>40666</c:v>
                </c:pt>
                <c:pt idx="6">
                  <c:v>41397</c:v>
                </c:pt>
                <c:pt idx="7">
                  <c:v>42676</c:v>
                </c:pt>
                <c:pt idx="8">
                  <c:v>42124</c:v>
                </c:pt>
                <c:pt idx="9">
                  <c:v>42073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5-C20C-4075-8CD4-F46ED097AC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65458783"/>
        <c:axId val="765451103"/>
      </c:lineChart>
      <c:catAx>
        <c:axId val="7654587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765451103"/>
        <c:crosses val="autoZero"/>
        <c:auto val="1"/>
        <c:lblAlgn val="ctr"/>
        <c:lblOffset val="100"/>
        <c:noMultiLvlLbl val="0"/>
      </c:catAx>
      <c:valAx>
        <c:axId val="765451103"/>
        <c:scaling>
          <c:orientation val="minMax"/>
          <c:min val="38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7654587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ITALIANI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elaboraz!$B$31</c:f>
              <c:strCache>
                <c:ptCount val="1"/>
                <c:pt idx="0">
                  <c:v>LAC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796761585706309E-2"/>
                  <c:y val="-2.92638275185397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FEA-4B46-BFF5-305B792B9FAA}"/>
                </c:ext>
              </c:extLst>
            </c:dLbl>
            <c:dLbl>
              <c:idx val="1"/>
              <c:layout>
                <c:manualLayout>
                  <c:x val="-4.0201005025125629E-2"/>
                  <c:y val="-2.92638275185397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FEA-4B46-BFF5-305B792B9FAA}"/>
                </c:ext>
              </c:extLst>
            </c:dLbl>
            <c:dLbl>
              <c:idx val="2"/>
              <c:layout>
                <c:manualLayout>
                  <c:x val="-4.0201005025125587E-2"/>
                  <c:y val="-3.29218059583572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FEA-4B46-BFF5-305B792B9FAA}"/>
                </c:ext>
              </c:extLst>
            </c:dLbl>
            <c:dLbl>
              <c:idx val="3"/>
              <c:layout>
                <c:manualLayout>
                  <c:x val="-4.690117252931323E-2"/>
                  <c:y val="3.65797843981747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FEA-4B46-BFF5-305B792B9FAA}"/>
                </c:ext>
              </c:extLst>
            </c:dLbl>
            <c:dLbl>
              <c:idx val="4"/>
              <c:layout>
                <c:manualLayout>
                  <c:x val="-4.4667783361250699E-2"/>
                  <c:y val="2.19478706389048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FEA-4B46-BFF5-305B792B9FAA}"/>
                </c:ext>
              </c:extLst>
            </c:dLbl>
            <c:dLbl>
              <c:idx val="5"/>
              <c:layout>
                <c:manualLayout>
                  <c:x val="-3.3500837520938104E-2"/>
                  <c:y val="2.560584907872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FEA-4B46-BFF5-305B792B9FAA}"/>
                </c:ext>
              </c:extLst>
            </c:dLbl>
            <c:dLbl>
              <c:idx val="6"/>
              <c:layout>
                <c:manualLayout>
                  <c:x val="-3.350083752093802E-2"/>
                  <c:y val="2.19478706389048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FEA-4B46-BFF5-305B792B9FAA}"/>
                </c:ext>
              </c:extLst>
            </c:dLbl>
            <c:dLbl>
              <c:idx val="7"/>
              <c:layout>
                <c:manualLayout>
                  <c:x val="-2.9034059184812954E-2"/>
                  <c:y val="-1.82898921990873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FEA-4B46-BFF5-305B792B9FAA}"/>
                </c:ext>
              </c:extLst>
            </c:dLbl>
            <c:dLbl>
              <c:idx val="8"/>
              <c:layout>
                <c:manualLayout>
                  <c:x val="-3.5734226689000559E-2"/>
                  <c:y val="1.4631913759269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FEA-4B46-BFF5-305B792B9F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elaboraz!$A$32:$A$41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elaboraz!$B$32:$B$41</c:f>
              <c:numCache>
                <c:formatCode>#,##0</c:formatCode>
                <c:ptCount val="10"/>
                <c:pt idx="0">
                  <c:v>247564</c:v>
                </c:pt>
                <c:pt idx="1">
                  <c:v>246786</c:v>
                </c:pt>
                <c:pt idx="2">
                  <c:v>246829</c:v>
                </c:pt>
                <c:pt idx="3">
                  <c:v>246965</c:v>
                </c:pt>
                <c:pt idx="4">
                  <c:v>245877</c:v>
                </c:pt>
                <c:pt idx="5">
                  <c:v>245165</c:v>
                </c:pt>
                <c:pt idx="6">
                  <c:v>244369</c:v>
                </c:pt>
                <c:pt idx="7" formatCode="_-* #,##0_-;\-* #,##0_-;_-* &quot;-&quot;??_-;_-@_-">
                  <c:v>242204</c:v>
                </c:pt>
                <c:pt idx="8" formatCode="_-* #,##0_-;\-* #,##0_-;_-* &quot;-&quot;??_-;_-@_-">
                  <c:v>241992</c:v>
                </c:pt>
                <c:pt idx="9" formatCode="_-* #,##0_-;\-* #,##0_-;_-* &quot;-&quot;??_-;_-@_-">
                  <c:v>242434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8FEA-4B46-BFF5-305B792B9FAA}"/>
            </c:ext>
          </c:extLst>
        </c:ser>
        <c:ser>
          <c:idx val="1"/>
          <c:order val="1"/>
          <c:tx>
            <c:strRef>
              <c:f>elaboraz!$C$31</c:f>
              <c:strCache>
                <c:ptCount val="1"/>
                <c:pt idx="0">
                  <c:v>ISTAT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0201005025125629E-2"/>
                  <c:y val="3.29218059583571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FEA-4B46-BFF5-305B792B9FAA}"/>
                </c:ext>
              </c:extLst>
            </c:dLbl>
            <c:dLbl>
              <c:idx val="1"/>
              <c:layout>
                <c:manualLayout>
                  <c:x val="-4.9134561697375768E-2"/>
                  <c:y val="2.19478706389048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FEA-4B46-BFF5-305B792B9FAA}"/>
                </c:ext>
              </c:extLst>
            </c:dLbl>
            <c:dLbl>
              <c:idx val="2"/>
              <c:layout>
                <c:manualLayout>
                  <c:x val="-4.243439419318816E-2"/>
                  <c:y val="3.29218059583571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FEA-4B46-BFF5-305B792B9FAA}"/>
                </c:ext>
              </c:extLst>
            </c:dLbl>
            <c:dLbl>
              <c:idx val="3"/>
              <c:layout>
                <c:manualLayout>
                  <c:x val="-4.4667783361250699E-2"/>
                  <c:y val="-1.82898921990873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FEA-4B46-BFF5-305B792B9FAA}"/>
                </c:ext>
              </c:extLst>
            </c:dLbl>
            <c:dLbl>
              <c:idx val="4"/>
              <c:layout>
                <c:manualLayout>
                  <c:x val="-3.3500837520938104E-2"/>
                  <c:y val="-1.82898921990873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FEA-4B46-BFF5-305B792B9FAA}"/>
                </c:ext>
              </c:extLst>
            </c:dLbl>
            <c:dLbl>
              <c:idx val="5"/>
              <c:layout>
                <c:manualLayout>
                  <c:x val="-3.3500837520938104E-2"/>
                  <c:y val="-1.097393531945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FEA-4B46-BFF5-305B792B9FAA}"/>
                </c:ext>
              </c:extLst>
            </c:dLbl>
            <c:dLbl>
              <c:idx val="6"/>
              <c:layout>
                <c:manualLayout>
                  <c:x val="-3.796761585706309E-2"/>
                  <c:y val="-2.56058490787222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FEA-4B46-BFF5-305B792B9FAA}"/>
                </c:ext>
              </c:extLst>
            </c:dLbl>
            <c:dLbl>
              <c:idx val="7"/>
              <c:layout>
                <c:manualLayout>
                  <c:x val="-4.0201005025125712E-2"/>
                  <c:y val="3.65797843981746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FEA-4B46-BFF5-305B792B9FAA}"/>
                </c:ext>
              </c:extLst>
            </c:dLbl>
            <c:dLbl>
              <c:idx val="8"/>
              <c:layout>
                <c:manualLayout>
                  <c:x val="-4.0201005025125629E-2"/>
                  <c:y val="2.19478706389046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8FEA-4B46-BFF5-305B792B9F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elaboraz!$A$32:$A$41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elaboraz!$C$32:$C$41</c:f>
              <c:numCache>
                <c:formatCode>_-* #,##0_-;\-* #,##0_-;_-* "-"??_-;_-@_-</c:formatCode>
                <c:ptCount val="10"/>
                <c:pt idx="0">
                  <c:v>247554</c:v>
                </c:pt>
                <c:pt idx="1">
                  <c:v>246754</c:v>
                </c:pt>
                <c:pt idx="2">
                  <c:v>246423</c:v>
                </c:pt>
                <c:pt idx="3">
                  <c:v>247268</c:v>
                </c:pt>
                <c:pt idx="4">
                  <c:v>246323</c:v>
                </c:pt>
                <c:pt idx="5">
                  <c:v>245599</c:v>
                </c:pt>
                <c:pt idx="6">
                  <c:v>245036</c:v>
                </c:pt>
                <c:pt idx="7">
                  <c:v>241066</c:v>
                </c:pt>
                <c:pt idx="8">
                  <c:v>241311</c:v>
                </c:pt>
                <c:pt idx="9">
                  <c:v>241577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3-8FEA-4B46-BFF5-305B792B9F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62599935"/>
        <c:axId val="762594655"/>
      </c:lineChart>
      <c:catAx>
        <c:axId val="7625999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762594655"/>
        <c:crosses val="autoZero"/>
        <c:auto val="1"/>
        <c:lblAlgn val="ctr"/>
        <c:lblOffset val="100"/>
        <c:noMultiLvlLbl val="0"/>
      </c:catAx>
      <c:valAx>
        <c:axId val="762594655"/>
        <c:scaling>
          <c:orientation val="minMax"/>
          <c:min val="24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7625999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CB92C-DE6A-42A0-9AE5-E3431E5A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4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Colnaghi, Antonio</dc:creator>
  <cp:keywords/>
  <dc:description/>
  <cp:lastModifiedBy>Colnaghi, Antonio</cp:lastModifiedBy>
  <cp:revision>18</cp:revision>
  <cp:lastPrinted>2023-05-17T15:55:00Z</cp:lastPrinted>
  <dcterms:created xsi:type="dcterms:W3CDTF">2023-05-12T09:42:00Z</dcterms:created>
  <dcterms:modified xsi:type="dcterms:W3CDTF">2023-05-17T15:57:00Z</dcterms:modified>
</cp:coreProperties>
</file>